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418"/>
        <w:gridCol w:w="1701"/>
        <w:gridCol w:w="1984"/>
        <w:gridCol w:w="1134"/>
        <w:gridCol w:w="1134"/>
      </w:tblGrid>
      <w:tr w:rsidR="005646B5" w14:paraId="5825488C" w14:textId="6F532E35" w:rsidTr="005646B5">
        <w:trPr>
          <w:trHeight w:val="992"/>
        </w:trPr>
        <w:tc>
          <w:tcPr>
            <w:tcW w:w="1809" w:type="dxa"/>
          </w:tcPr>
          <w:p w14:paraId="32B3F8B8" w14:textId="77777777" w:rsidR="005646B5" w:rsidRDefault="005646B5" w:rsidP="002412E7">
            <w:pPr>
              <w:widowControl w:val="0"/>
              <w:autoSpaceDE w:val="0"/>
              <w:autoSpaceDN w:val="0"/>
              <w:adjustRightInd w:val="0"/>
              <w:spacing w:after="60"/>
              <w:jc w:val="center"/>
              <w:rPr>
                <w:rFonts w:ascii="Arial" w:hAnsi="Arial" w:cs="Arial"/>
                <w:b/>
                <w:sz w:val="20"/>
                <w:szCs w:val="20"/>
              </w:rPr>
            </w:pPr>
            <w:r>
              <w:rPr>
                <w:rFonts w:ascii="Arial" w:hAnsi="Arial" w:cs="Arial"/>
                <w:b/>
                <w:noProof/>
                <w:sz w:val="20"/>
                <w:szCs w:val="20"/>
                <w:lang w:eastAsia="fr-FR"/>
              </w:rPr>
              <w:drawing>
                <wp:inline distT="0" distB="0" distL="0" distR="0" wp14:anchorId="2B4D5E4E" wp14:editId="5B66F024">
                  <wp:extent cx="1088602" cy="476250"/>
                  <wp:effectExtent l="0" t="0" r="381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2321" cy="477877"/>
                          </a:xfrm>
                          <a:prstGeom prst="rect">
                            <a:avLst/>
                          </a:prstGeom>
                          <a:noFill/>
                          <a:ln>
                            <a:noFill/>
                          </a:ln>
                        </pic:spPr>
                      </pic:pic>
                    </a:graphicData>
                  </a:graphic>
                </wp:inline>
              </w:drawing>
            </w:r>
          </w:p>
        </w:tc>
        <w:tc>
          <w:tcPr>
            <w:tcW w:w="1418" w:type="dxa"/>
          </w:tcPr>
          <w:p w14:paraId="3D5977F2" w14:textId="77777777" w:rsidR="005646B5" w:rsidRDefault="005646B5" w:rsidP="002412E7">
            <w:pPr>
              <w:widowControl w:val="0"/>
              <w:autoSpaceDE w:val="0"/>
              <w:autoSpaceDN w:val="0"/>
              <w:adjustRightInd w:val="0"/>
              <w:spacing w:after="60"/>
              <w:jc w:val="center"/>
              <w:rPr>
                <w:rFonts w:ascii="Arial" w:hAnsi="Arial" w:cs="Arial"/>
                <w:b/>
                <w:sz w:val="20"/>
                <w:szCs w:val="20"/>
              </w:rPr>
            </w:pPr>
            <w:r>
              <w:rPr>
                <w:rFonts w:ascii="Arial" w:hAnsi="Arial" w:cs="Arial"/>
                <w:b/>
                <w:noProof/>
                <w:sz w:val="20"/>
                <w:szCs w:val="20"/>
                <w:lang w:eastAsia="fr-FR"/>
              </w:rPr>
              <w:drawing>
                <wp:inline distT="0" distB="0" distL="0" distR="0" wp14:anchorId="540F4904" wp14:editId="6A1E73F3">
                  <wp:extent cx="818727" cy="476673"/>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1857" cy="478495"/>
                          </a:xfrm>
                          <a:prstGeom prst="rect">
                            <a:avLst/>
                          </a:prstGeom>
                          <a:noFill/>
                          <a:ln>
                            <a:noFill/>
                          </a:ln>
                        </pic:spPr>
                      </pic:pic>
                    </a:graphicData>
                  </a:graphic>
                </wp:inline>
              </w:drawing>
            </w:r>
          </w:p>
        </w:tc>
        <w:tc>
          <w:tcPr>
            <w:tcW w:w="1701" w:type="dxa"/>
          </w:tcPr>
          <w:p w14:paraId="2C5B553C" w14:textId="77777777" w:rsidR="005646B5" w:rsidRDefault="005646B5" w:rsidP="002412E7">
            <w:pPr>
              <w:widowControl w:val="0"/>
              <w:autoSpaceDE w:val="0"/>
              <w:autoSpaceDN w:val="0"/>
              <w:adjustRightInd w:val="0"/>
              <w:spacing w:after="60"/>
              <w:jc w:val="center"/>
              <w:rPr>
                <w:rFonts w:ascii="Arial" w:hAnsi="Arial" w:cs="Arial"/>
                <w:b/>
                <w:sz w:val="20"/>
                <w:szCs w:val="20"/>
              </w:rPr>
            </w:pPr>
            <w:r>
              <w:rPr>
                <w:rFonts w:ascii="Arial" w:hAnsi="Arial" w:cs="Arial"/>
                <w:b/>
                <w:noProof/>
                <w:sz w:val="20"/>
                <w:szCs w:val="20"/>
                <w:lang w:eastAsia="fr-FR"/>
              </w:rPr>
              <w:drawing>
                <wp:inline distT="0" distB="0" distL="0" distR="0" wp14:anchorId="2E2E8434" wp14:editId="703BC73A">
                  <wp:extent cx="965835" cy="46869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0485" cy="470955"/>
                          </a:xfrm>
                          <a:prstGeom prst="rect">
                            <a:avLst/>
                          </a:prstGeom>
                          <a:noFill/>
                          <a:ln>
                            <a:noFill/>
                          </a:ln>
                        </pic:spPr>
                      </pic:pic>
                    </a:graphicData>
                  </a:graphic>
                </wp:inline>
              </w:drawing>
            </w:r>
          </w:p>
        </w:tc>
        <w:tc>
          <w:tcPr>
            <w:tcW w:w="1984" w:type="dxa"/>
          </w:tcPr>
          <w:p w14:paraId="46E19BDD" w14:textId="77777777" w:rsidR="005646B5" w:rsidRDefault="005646B5" w:rsidP="002412E7">
            <w:pPr>
              <w:widowControl w:val="0"/>
              <w:autoSpaceDE w:val="0"/>
              <w:autoSpaceDN w:val="0"/>
              <w:adjustRightInd w:val="0"/>
              <w:spacing w:after="60"/>
              <w:jc w:val="center"/>
              <w:rPr>
                <w:rFonts w:ascii="Arial" w:hAnsi="Arial" w:cs="Arial"/>
                <w:b/>
                <w:noProof/>
                <w:sz w:val="20"/>
                <w:szCs w:val="20"/>
                <w:lang w:eastAsia="fr-FR"/>
              </w:rPr>
            </w:pPr>
            <w:r>
              <w:rPr>
                <w:rFonts w:ascii="Arial" w:hAnsi="Arial" w:cs="Arial"/>
                <w:b/>
                <w:noProof/>
                <w:sz w:val="20"/>
                <w:szCs w:val="20"/>
                <w:lang w:eastAsia="fr-FR"/>
              </w:rPr>
              <w:drawing>
                <wp:inline distT="0" distB="0" distL="0" distR="0" wp14:anchorId="16704153" wp14:editId="00A8B45D">
                  <wp:extent cx="1164802" cy="497927"/>
                  <wp:effectExtent l="0" t="0" r="3810" b="1016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7454" cy="499061"/>
                          </a:xfrm>
                          <a:prstGeom prst="rect">
                            <a:avLst/>
                          </a:prstGeom>
                          <a:noFill/>
                          <a:ln>
                            <a:noFill/>
                          </a:ln>
                        </pic:spPr>
                      </pic:pic>
                    </a:graphicData>
                  </a:graphic>
                </wp:inline>
              </w:drawing>
            </w:r>
          </w:p>
        </w:tc>
        <w:tc>
          <w:tcPr>
            <w:tcW w:w="1134" w:type="dxa"/>
          </w:tcPr>
          <w:p w14:paraId="6520AD4D" w14:textId="3E396A64" w:rsidR="005646B5" w:rsidRDefault="005646B5" w:rsidP="002412E7">
            <w:pPr>
              <w:widowControl w:val="0"/>
              <w:autoSpaceDE w:val="0"/>
              <w:autoSpaceDN w:val="0"/>
              <w:adjustRightInd w:val="0"/>
              <w:spacing w:after="60"/>
              <w:jc w:val="center"/>
              <w:rPr>
                <w:rFonts w:ascii="Arial" w:hAnsi="Arial" w:cs="Arial"/>
                <w:b/>
                <w:noProof/>
                <w:sz w:val="20"/>
                <w:szCs w:val="20"/>
                <w:lang w:eastAsia="fr-FR"/>
              </w:rPr>
            </w:pPr>
            <w:r>
              <w:rPr>
                <w:rFonts w:ascii="Arial" w:hAnsi="Arial" w:cs="Arial"/>
                <w:b/>
                <w:noProof/>
                <w:sz w:val="20"/>
                <w:szCs w:val="20"/>
                <w:lang w:eastAsia="fr-FR"/>
              </w:rPr>
              <w:drawing>
                <wp:inline distT="0" distB="0" distL="0" distR="0" wp14:anchorId="6E02E53F" wp14:editId="6225F6AC">
                  <wp:extent cx="538268" cy="538268"/>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744" cy="539744"/>
                          </a:xfrm>
                          <a:prstGeom prst="rect">
                            <a:avLst/>
                          </a:prstGeom>
                          <a:noFill/>
                          <a:ln>
                            <a:noFill/>
                          </a:ln>
                        </pic:spPr>
                      </pic:pic>
                    </a:graphicData>
                  </a:graphic>
                </wp:inline>
              </w:drawing>
            </w:r>
          </w:p>
        </w:tc>
        <w:tc>
          <w:tcPr>
            <w:tcW w:w="1134" w:type="dxa"/>
          </w:tcPr>
          <w:p w14:paraId="31A55218" w14:textId="668C7DFE" w:rsidR="005646B5" w:rsidRDefault="005646B5" w:rsidP="002412E7">
            <w:pPr>
              <w:widowControl w:val="0"/>
              <w:autoSpaceDE w:val="0"/>
              <w:autoSpaceDN w:val="0"/>
              <w:adjustRightInd w:val="0"/>
              <w:spacing w:after="60"/>
              <w:jc w:val="center"/>
              <w:rPr>
                <w:rFonts w:ascii="Arial" w:hAnsi="Arial" w:cs="Arial"/>
                <w:b/>
                <w:noProof/>
                <w:sz w:val="20"/>
                <w:szCs w:val="20"/>
                <w:lang w:eastAsia="fr-FR"/>
              </w:rPr>
            </w:pPr>
            <w:r>
              <w:rPr>
                <w:rFonts w:ascii="Arial" w:hAnsi="Arial" w:cs="Arial"/>
                <w:b/>
                <w:noProof/>
                <w:sz w:val="20"/>
                <w:szCs w:val="20"/>
                <w:lang w:eastAsia="fr-FR"/>
              </w:rPr>
              <w:drawing>
                <wp:inline distT="0" distB="0" distL="0" distR="0" wp14:anchorId="2EA2463B" wp14:editId="6C9B10D9">
                  <wp:extent cx="508635" cy="665607"/>
                  <wp:effectExtent l="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909" cy="665966"/>
                          </a:xfrm>
                          <a:prstGeom prst="rect">
                            <a:avLst/>
                          </a:prstGeom>
                          <a:noFill/>
                          <a:ln>
                            <a:noFill/>
                          </a:ln>
                        </pic:spPr>
                      </pic:pic>
                    </a:graphicData>
                  </a:graphic>
                </wp:inline>
              </w:drawing>
            </w:r>
          </w:p>
        </w:tc>
      </w:tr>
    </w:tbl>
    <w:p w14:paraId="688EBD9E" w14:textId="77777777" w:rsidR="00374863" w:rsidRPr="002412E7" w:rsidRDefault="00374863" w:rsidP="00EA4031">
      <w:pPr>
        <w:widowControl w:val="0"/>
        <w:autoSpaceDE w:val="0"/>
        <w:autoSpaceDN w:val="0"/>
        <w:adjustRightInd w:val="0"/>
        <w:spacing w:before="120" w:after="60"/>
        <w:jc w:val="center"/>
        <w:rPr>
          <w:rFonts w:ascii="Arial" w:hAnsi="Arial" w:cs="Arial"/>
          <w:b/>
          <w:sz w:val="20"/>
          <w:szCs w:val="20"/>
        </w:rPr>
      </w:pPr>
      <w:r>
        <w:rPr>
          <w:rFonts w:ascii="Arial" w:hAnsi="Arial" w:cs="Arial"/>
          <w:b/>
          <w:sz w:val="20"/>
          <w:szCs w:val="20"/>
        </w:rPr>
        <w:t>Penser des variations et des séries de problè</w:t>
      </w:r>
      <w:bookmarkStart w:id="0" w:name="_GoBack"/>
      <w:bookmarkEnd w:id="0"/>
      <w:r>
        <w:rPr>
          <w:rFonts w:ascii="Arial" w:hAnsi="Arial" w:cs="Arial"/>
          <w:b/>
          <w:sz w:val="20"/>
          <w:szCs w:val="20"/>
        </w:rPr>
        <w:t>mes</w:t>
      </w:r>
      <w:r w:rsidRPr="002412E7">
        <w:rPr>
          <w:rFonts w:ascii="Arial" w:hAnsi="Arial" w:cs="Arial"/>
          <w:b/>
          <w:sz w:val="20"/>
          <w:szCs w:val="20"/>
        </w:rPr>
        <w:t xml:space="preserve"> pour l’enseignement des mathématiques</w:t>
      </w:r>
    </w:p>
    <w:p w14:paraId="470D55C7" w14:textId="77777777" w:rsidR="00374863" w:rsidRPr="0093261C" w:rsidRDefault="00374863" w:rsidP="00374863">
      <w:pPr>
        <w:widowControl w:val="0"/>
        <w:autoSpaceDE w:val="0"/>
        <w:autoSpaceDN w:val="0"/>
        <w:adjustRightInd w:val="0"/>
        <w:spacing w:after="200"/>
        <w:jc w:val="center"/>
        <w:rPr>
          <w:rFonts w:ascii="Arial" w:hAnsi="Arial" w:cs="Arial"/>
          <w:b/>
          <w:i/>
          <w:sz w:val="20"/>
          <w:szCs w:val="20"/>
        </w:rPr>
      </w:pPr>
      <w:r w:rsidRPr="0093261C">
        <w:rPr>
          <w:rFonts w:ascii="Arial" w:hAnsi="Arial" w:cs="Arial"/>
          <w:b/>
          <w:i/>
          <w:sz w:val="20"/>
          <w:szCs w:val="20"/>
        </w:rPr>
        <w:t>Réflexions historiques, didactiques et méthodologiques</w:t>
      </w:r>
    </w:p>
    <w:p w14:paraId="65A0850A" w14:textId="1FD4BC10" w:rsidR="00374863" w:rsidRDefault="00374863" w:rsidP="00374863">
      <w:pPr>
        <w:widowControl w:val="0"/>
        <w:autoSpaceDE w:val="0"/>
        <w:autoSpaceDN w:val="0"/>
        <w:adjustRightInd w:val="0"/>
        <w:spacing w:after="60"/>
        <w:jc w:val="center"/>
        <w:rPr>
          <w:rFonts w:ascii="Arial" w:hAnsi="Arial" w:cs="Arial"/>
          <w:i/>
          <w:sz w:val="20"/>
          <w:szCs w:val="20"/>
        </w:rPr>
      </w:pPr>
      <w:r>
        <w:rPr>
          <w:rFonts w:ascii="Arial" w:hAnsi="Arial" w:cs="Arial"/>
          <w:i/>
          <w:sz w:val="20"/>
          <w:szCs w:val="20"/>
        </w:rPr>
        <w:t>Séminaire, Institut français de l’éducation</w:t>
      </w:r>
      <w:r w:rsidR="008A5683">
        <w:rPr>
          <w:rFonts w:ascii="Arial" w:hAnsi="Arial" w:cs="Arial"/>
          <w:i/>
          <w:sz w:val="20"/>
          <w:szCs w:val="20"/>
        </w:rPr>
        <w:t xml:space="preserve"> (salle D8-006)</w:t>
      </w:r>
      <w:r>
        <w:rPr>
          <w:rFonts w:ascii="Arial" w:hAnsi="Arial" w:cs="Arial"/>
          <w:i/>
          <w:sz w:val="20"/>
          <w:szCs w:val="20"/>
        </w:rPr>
        <w:t>, Ecole Normale Supérieure de Lyon</w:t>
      </w:r>
      <w:r w:rsidR="008A5683">
        <w:rPr>
          <w:rFonts w:ascii="Arial" w:hAnsi="Arial" w:cs="Arial"/>
          <w:i/>
          <w:sz w:val="20"/>
          <w:szCs w:val="20"/>
        </w:rPr>
        <w:t xml:space="preserve"> </w:t>
      </w:r>
    </w:p>
    <w:p w14:paraId="5A1CB0FD" w14:textId="77E62D99" w:rsidR="00374863" w:rsidRDefault="008A5683" w:rsidP="00374863">
      <w:pPr>
        <w:widowControl w:val="0"/>
        <w:autoSpaceDE w:val="0"/>
        <w:autoSpaceDN w:val="0"/>
        <w:adjustRightInd w:val="0"/>
        <w:spacing w:after="200"/>
        <w:jc w:val="center"/>
        <w:rPr>
          <w:rFonts w:ascii="Arial" w:hAnsi="Arial" w:cs="Arial"/>
          <w:i/>
          <w:sz w:val="20"/>
          <w:szCs w:val="20"/>
        </w:rPr>
      </w:pPr>
      <w:r>
        <w:rPr>
          <w:rFonts w:ascii="Arial" w:hAnsi="Arial" w:cs="Arial"/>
          <w:i/>
          <w:sz w:val="20"/>
          <w:szCs w:val="20"/>
        </w:rPr>
        <w:t>7 janvier 2019, 9h30-16</w:t>
      </w:r>
      <w:r w:rsidR="00374863">
        <w:rPr>
          <w:rFonts w:ascii="Arial" w:hAnsi="Arial" w:cs="Arial"/>
          <w:i/>
          <w:sz w:val="20"/>
          <w:szCs w:val="20"/>
        </w:rPr>
        <w:t xml:space="preserve">h30 (contact : </w:t>
      </w:r>
      <w:hyperlink r:id="rId11" w:history="1">
        <w:r w:rsidR="00374863" w:rsidRPr="00BB16E7">
          <w:rPr>
            <w:rStyle w:val="Lienhypertexte"/>
            <w:rFonts w:ascii="Arial" w:hAnsi="Arial" w:cs="Arial"/>
            <w:i/>
            <w:sz w:val="20"/>
            <w:szCs w:val="20"/>
          </w:rPr>
          <w:t>luc.trouche@ens-lyon.fr</w:t>
        </w:r>
      </w:hyperlink>
      <w:r w:rsidR="00374863">
        <w:rPr>
          <w:rFonts w:ascii="Arial" w:hAnsi="Arial" w:cs="Arial"/>
          <w:i/>
          <w:sz w:val="20"/>
          <w:szCs w:val="20"/>
        </w:rPr>
        <w:t>)</w:t>
      </w:r>
    </w:p>
    <w:p w14:paraId="19BECA61" w14:textId="11585BAE" w:rsidR="00374863" w:rsidRPr="008A5683" w:rsidRDefault="00374863" w:rsidP="00374863">
      <w:pPr>
        <w:widowControl w:val="0"/>
        <w:autoSpaceDE w:val="0"/>
        <w:autoSpaceDN w:val="0"/>
        <w:adjustRightInd w:val="0"/>
        <w:spacing w:after="200"/>
        <w:jc w:val="both"/>
        <w:rPr>
          <w:rFonts w:ascii="Arial" w:hAnsi="Arial" w:cs="Arial"/>
          <w:sz w:val="16"/>
          <w:szCs w:val="16"/>
        </w:rPr>
      </w:pPr>
      <w:r w:rsidRPr="008A5683">
        <w:rPr>
          <w:rFonts w:ascii="Arial" w:hAnsi="Arial" w:cs="Arial"/>
          <w:sz w:val="16"/>
          <w:szCs w:val="16"/>
        </w:rPr>
        <w:t>Les variations de tâches</w:t>
      </w:r>
      <w:r w:rsidR="00A54BBE" w:rsidRPr="008A5683">
        <w:rPr>
          <w:rFonts w:ascii="Arial" w:hAnsi="Arial" w:cs="Arial"/>
          <w:sz w:val="16"/>
          <w:szCs w:val="16"/>
        </w:rPr>
        <w:t xml:space="preserve"> et l</w:t>
      </w:r>
      <w:r w:rsidRPr="008A5683">
        <w:rPr>
          <w:rFonts w:ascii="Arial" w:hAnsi="Arial" w:cs="Arial"/>
          <w:sz w:val="16"/>
          <w:szCs w:val="16"/>
        </w:rPr>
        <w:t xml:space="preserve">es séries de problèmes </w:t>
      </w:r>
      <w:r w:rsidR="00A54BBE" w:rsidRPr="008A5683">
        <w:rPr>
          <w:rFonts w:ascii="Arial" w:hAnsi="Arial" w:cs="Arial"/>
          <w:sz w:val="16"/>
          <w:szCs w:val="16"/>
        </w:rPr>
        <w:t xml:space="preserve">pour l’enseignement des mathématiques </w:t>
      </w:r>
      <w:r w:rsidRPr="008A5683">
        <w:rPr>
          <w:rFonts w:ascii="Arial" w:hAnsi="Arial" w:cs="Arial"/>
          <w:sz w:val="16"/>
          <w:szCs w:val="16"/>
        </w:rPr>
        <w:t>sont au centre de plusieurs projets de recherche historique et didactique : on peut citer par exemple le projet historique interdisciplinaire « </w:t>
      </w:r>
      <w:hyperlink r:id="rId12" w:history="1">
        <w:r w:rsidRPr="008A5683">
          <w:rPr>
            <w:rStyle w:val="Lienhypertexte"/>
            <w:rFonts w:ascii="Arial" w:hAnsi="Arial" w:cs="Arial"/>
            <w:sz w:val="16"/>
            <w:szCs w:val="16"/>
          </w:rPr>
          <w:t>Séries de problèmes au carrefour des cultures</w:t>
        </w:r>
      </w:hyperlink>
      <w:r w:rsidRPr="008A5683">
        <w:rPr>
          <w:rFonts w:ascii="Arial" w:hAnsi="Arial" w:cs="Arial"/>
          <w:sz w:val="16"/>
          <w:szCs w:val="16"/>
        </w:rPr>
        <w:t xml:space="preserve"> » qui existe au sein </w:t>
      </w:r>
      <w:r w:rsidR="00A54BBE" w:rsidRPr="008A5683">
        <w:rPr>
          <w:rFonts w:ascii="Arial" w:hAnsi="Arial" w:cs="Arial"/>
          <w:sz w:val="16"/>
          <w:szCs w:val="16"/>
        </w:rPr>
        <w:t>du labex HASTEX depuis 2012 ou encore l</w:t>
      </w:r>
      <w:r w:rsidRPr="008A5683">
        <w:rPr>
          <w:rFonts w:ascii="Arial" w:hAnsi="Arial" w:cs="Arial"/>
          <w:sz w:val="16"/>
          <w:szCs w:val="16"/>
        </w:rPr>
        <w:t xml:space="preserve">es recherches didactiques concernant </w:t>
      </w:r>
      <w:r w:rsidR="00A54BBE" w:rsidRPr="008A5683">
        <w:rPr>
          <w:rFonts w:ascii="Arial" w:hAnsi="Arial" w:cs="Arial"/>
          <w:sz w:val="16"/>
          <w:szCs w:val="16"/>
        </w:rPr>
        <w:t xml:space="preserve">la théorie des situations en France </w:t>
      </w:r>
      <w:r w:rsidR="00CF28E0" w:rsidRPr="008A5683">
        <w:rPr>
          <w:rFonts w:ascii="Arial" w:hAnsi="Arial" w:cs="Arial"/>
          <w:sz w:val="16"/>
          <w:szCs w:val="16"/>
        </w:rPr>
        <w:t xml:space="preserve">(Brousseau 1986) </w:t>
      </w:r>
      <w:r w:rsidR="00A54BBE" w:rsidRPr="008A5683">
        <w:rPr>
          <w:rFonts w:ascii="Arial" w:hAnsi="Arial" w:cs="Arial"/>
          <w:sz w:val="16"/>
          <w:szCs w:val="16"/>
        </w:rPr>
        <w:t xml:space="preserve">ou </w:t>
      </w:r>
      <w:r w:rsidRPr="008A5683">
        <w:rPr>
          <w:rFonts w:ascii="Arial" w:hAnsi="Arial" w:cs="Arial"/>
          <w:sz w:val="16"/>
          <w:szCs w:val="16"/>
        </w:rPr>
        <w:t xml:space="preserve">la « méthode des variations » chinoises </w:t>
      </w:r>
      <w:r w:rsidR="00A54BBE" w:rsidRPr="008A5683">
        <w:rPr>
          <w:rFonts w:ascii="Arial" w:hAnsi="Arial" w:cs="Arial"/>
          <w:sz w:val="16"/>
          <w:szCs w:val="16"/>
        </w:rPr>
        <w:t>(Bao et al. 2003)</w:t>
      </w:r>
      <w:r w:rsidRPr="008A5683">
        <w:rPr>
          <w:rFonts w:ascii="Arial" w:hAnsi="Arial" w:cs="Arial"/>
          <w:sz w:val="16"/>
          <w:szCs w:val="16"/>
        </w:rPr>
        <w:t xml:space="preserve">. Plusieurs rencontres </w:t>
      </w:r>
      <w:r w:rsidR="00A54BBE" w:rsidRPr="008A5683">
        <w:rPr>
          <w:rFonts w:ascii="Arial" w:hAnsi="Arial" w:cs="Arial"/>
          <w:sz w:val="16"/>
          <w:szCs w:val="16"/>
        </w:rPr>
        <w:t>ont été organisées</w:t>
      </w:r>
      <w:r w:rsidRPr="008A5683">
        <w:rPr>
          <w:rFonts w:ascii="Arial" w:hAnsi="Arial" w:cs="Arial"/>
          <w:sz w:val="16"/>
          <w:szCs w:val="16"/>
        </w:rPr>
        <w:t xml:space="preserve"> ces dernières années pour stimuler l’échange entre ces différentes projets : notamment </w:t>
      </w:r>
      <w:hyperlink r:id="rId13" w:anchor="13-03-2017" w:history="1">
        <w:r w:rsidRPr="008A5683">
          <w:rPr>
            <w:rStyle w:val="Lienhypertexte"/>
            <w:rFonts w:ascii="Arial" w:hAnsi="Arial" w:cs="Arial"/>
            <w:sz w:val="16"/>
            <w:szCs w:val="16"/>
          </w:rPr>
          <w:t>à Paris</w:t>
        </w:r>
      </w:hyperlink>
      <w:r w:rsidRPr="008A5683">
        <w:rPr>
          <w:rFonts w:ascii="Arial" w:hAnsi="Arial" w:cs="Arial"/>
          <w:sz w:val="16"/>
          <w:szCs w:val="16"/>
        </w:rPr>
        <w:t xml:space="preserve"> en mars 2017 par C. de </w:t>
      </w:r>
      <w:proofErr w:type="spellStart"/>
      <w:r w:rsidRPr="008A5683">
        <w:rPr>
          <w:rFonts w:ascii="Arial" w:hAnsi="Arial" w:cs="Arial"/>
          <w:sz w:val="16"/>
          <w:szCs w:val="16"/>
        </w:rPr>
        <w:t>Varent</w:t>
      </w:r>
      <w:proofErr w:type="spellEnd"/>
      <w:r w:rsidRPr="008A5683">
        <w:rPr>
          <w:rFonts w:ascii="Arial" w:hAnsi="Arial" w:cs="Arial"/>
          <w:sz w:val="16"/>
          <w:szCs w:val="16"/>
        </w:rPr>
        <w:t xml:space="preserve"> et </w:t>
      </w:r>
      <w:hyperlink r:id="rId14" w:history="1">
        <w:r w:rsidRPr="008A5683">
          <w:rPr>
            <w:rStyle w:val="Lienhypertexte"/>
            <w:rFonts w:ascii="Arial" w:hAnsi="Arial" w:cs="Arial"/>
            <w:sz w:val="16"/>
            <w:szCs w:val="16"/>
          </w:rPr>
          <w:t>à Budapest</w:t>
        </w:r>
      </w:hyperlink>
      <w:r w:rsidRPr="008A5683">
        <w:rPr>
          <w:rFonts w:ascii="Arial" w:hAnsi="Arial" w:cs="Arial"/>
          <w:sz w:val="16"/>
          <w:szCs w:val="16"/>
        </w:rPr>
        <w:t xml:space="preserve"> en avril 2018 par K. </w:t>
      </w:r>
      <w:proofErr w:type="spellStart"/>
      <w:r w:rsidRPr="008A5683">
        <w:rPr>
          <w:rFonts w:ascii="Arial" w:hAnsi="Arial" w:cs="Arial"/>
          <w:sz w:val="16"/>
          <w:szCs w:val="16"/>
        </w:rPr>
        <w:t>Gosztonyi</w:t>
      </w:r>
      <w:proofErr w:type="spellEnd"/>
      <w:r w:rsidRPr="008A5683">
        <w:rPr>
          <w:rFonts w:ascii="Arial" w:hAnsi="Arial" w:cs="Arial"/>
          <w:sz w:val="16"/>
          <w:szCs w:val="16"/>
        </w:rPr>
        <w:t xml:space="preserve">. La présente journée de Lyon donnera l’occasion d’une discussion entre jeunes chercheuses chinoise, françaises et hongroise </w:t>
      </w:r>
      <w:r w:rsidR="00A54BBE" w:rsidRPr="008A5683">
        <w:rPr>
          <w:rFonts w:ascii="Arial" w:hAnsi="Arial" w:cs="Arial"/>
          <w:sz w:val="16"/>
          <w:szCs w:val="16"/>
        </w:rPr>
        <w:t>dans la perspective</w:t>
      </w:r>
      <w:r w:rsidRPr="008A5683">
        <w:rPr>
          <w:rFonts w:ascii="Arial" w:hAnsi="Arial" w:cs="Arial"/>
          <w:sz w:val="16"/>
          <w:szCs w:val="16"/>
        </w:rPr>
        <w:t xml:space="preserve"> d’une collabo</w:t>
      </w:r>
      <w:r w:rsidR="00A54BBE" w:rsidRPr="008A5683">
        <w:rPr>
          <w:rFonts w:ascii="Arial" w:hAnsi="Arial" w:cs="Arial"/>
          <w:sz w:val="16"/>
          <w:szCs w:val="16"/>
        </w:rPr>
        <w:t>ration plus systématique entre c</w:t>
      </w:r>
      <w:r w:rsidR="003722A9" w:rsidRPr="008A5683">
        <w:rPr>
          <w:rFonts w:ascii="Arial" w:hAnsi="Arial" w:cs="Arial"/>
          <w:sz w:val="16"/>
          <w:szCs w:val="16"/>
        </w:rPr>
        <w:t>es différent</w:t>
      </w:r>
      <w:r w:rsidRPr="008A5683">
        <w:rPr>
          <w:rFonts w:ascii="Arial" w:hAnsi="Arial" w:cs="Arial"/>
          <w:sz w:val="16"/>
          <w:szCs w:val="16"/>
        </w:rPr>
        <w:t>s projets.</w:t>
      </w:r>
    </w:p>
    <w:p w14:paraId="4766B75E" w14:textId="77777777" w:rsidR="00374863" w:rsidRPr="003253DF" w:rsidRDefault="00EA4031" w:rsidP="00374863">
      <w:pPr>
        <w:widowControl w:val="0"/>
        <w:autoSpaceDE w:val="0"/>
        <w:autoSpaceDN w:val="0"/>
        <w:adjustRightInd w:val="0"/>
        <w:spacing w:after="60"/>
        <w:jc w:val="both"/>
        <w:rPr>
          <w:rFonts w:ascii="Arial" w:hAnsi="Arial" w:cs="Arial"/>
          <w:b/>
          <w:sz w:val="20"/>
          <w:szCs w:val="20"/>
        </w:rPr>
      </w:pPr>
      <w:hyperlink r:id="rId15" w:history="1">
        <w:r w:rsidR="00374863" w:rsidRPr="003253DF">
          <w:rPr>
            <w:rStyle w:val="Lienhypertexte"/>
            <w:rFonts w:ascii="Arial" w:hAnsi="Arial" w:cs="Arial"/>
            <w:b/>
            <w:sz w:val="20"/>
            <w:szCs w:val="20"/>
          </w:rPr>
          <w:t xml:space="preserve">Charlotte </w:t>
        </w:r>
        <w:r w:rsidR="00374863" w:rsidRPr="003253DF">
          <w:rPr>
            <w:rStyle w:val="Lienhypertexte"/>
            <w:rFonts w:ascii="Arial" w:hAnsi="Arial" w:cs="Arial"/>
            <w:b/>
            <w:sz w:val="20"/>
            <w:szCs w:val="20"/>
          </w:rPr>
          <w:t>d</w:t>
        </w:r>
        <w:r w:rsidR="00374863" w:rsidRPr="003253DF">
          <w:rPr>
            <w:rStyle w:val="Lienhypertexte"/>
            <w:rFonts w:ascii="Arial" w:hAnsi="Arial" w:cs="Arial"/>
            <w:b/>
            <w:sz w:val="20"/>
            <w:szCs w:val="20"/>
          </w:rPr>
          <w:t xml:space="preserve">e </w:t>
        </w:r>
        <w:proofErr w:type="spellStart"/>
        <w:r w:rsidR="00374863" w:rsidRPr="003253DF">
          <w:rPr>
            <w:rStyle w:val="Lienhypertexte"/>
            <w:rFonts w:ascii="Arial" w:hAnsi="Arial" w:cs="Arial"/>
            <w:b/>
            <w:sz w:val="20"/>
            <w:szCs w:val="20"/>
          </w:rPr>
          <w:t>Varent</w:t>
        </w:r>
        <w:proofErr w:type="spellEnd"/>
        <w:r w:rsidR="00374863" w:rsidRPr="003253DF">
          <w:rPr>
            <w:rStyle w:val="Lienhypertexte"/>
            <w:rFonts w:ascii="Arial" w:hAnsi="Arial" w:cs="Arial"/>
            <w:b/>
            <w:sz w:val="20"/>
            <w:szCs w:val="20"/>
          </w:rPr>
          <w:t> </w:t>
        </w:r>
      </w:hyperlink>
      <w:r w:rsidR="00374863" w:rsidRPr="003253DF">
        <w:rPr>
          <w:rFonts w:ascii="Arial" w:hAnsi="Arial" w:cs="Arial"/>
          <w:b/>
          <w:sz w:val="20"/>
          <w:szCs w:val="20"/>
        </w:rPr>
        <w:t xml:space="preserve">(laboratoire Sphère, Paris) : </w:t>
      </w:r>
      <w:r w:rsidR="00374863" w:rsidRPr="003253DF">
        <w:rPr>
          <w:rFonts w:ascii="Arial" w:hAnsi="Arial" w:cs="Arial"/>
          <w:b/>
          <w:i/>
          <w:sz w:val="20"/>
          <w:szCs w:val="20"/>
        </w:rPr>
        <w:t>Les "petites variations": analyse historique et didactique des tâches nécessaires au calcul de l'aire d'un carré en fonction de sa mesure de longueur donnée en énoncé, dans une sélection d'exercices sur tablettes de Mésopotamie</w:t>
      </w:r>
      <w:r w:rsidR="00374863" w:rsidRPr="003253DF">
        <w:rPr>
          <w:rFonts w:ascii="Arial" w:hAnsi="Arial" w:cs="Arial"/>
          <w:b/>
          <w:sz w:val="20"/>
          <w:szCs w:val="20"/>
        </w:rPr>
        <w:t>.</w:t>
      </w:r>
    </w:p>
    <w:p w14:paraId="4A95599B" w14:textId="77777777" w:rsidR="00374863" w:rsidRPr="008A5683" w:rsidRDefault="00374863" w:rsidP="00374863">
      <w:pPr>
        <w:widowControl w:val="0"/>
        <w:autoSpaceDE w:val="0"/>
        <w:autoSpaceDN w:val="0"/>
        <w:adjustRightInd w:val="0"/>
        <w:spacing w:after="60"/>
        <w:jc w:val="both"/>
        <w:rPr>
          <w:rFonts w:ascii="Arial" w:hAnsi="Arial" w:cs="Arial"/>
          <w:sz w:val="16"/>
          <w:szCs w:val="16"/>
        </w:rPr>
      </w:pPr>
      <w:r w:rsidRPr="008A5683">
        <w:rPr>
          <w:rFonts w:ascii="Arial" w:hAnsi="Arial" w:cs="Arial"/>
          <w:sz w:val="16"/>
          <w:szCs w:val="16"/>
        </w:rPr>
        <w:t>Dans cet exposé, j'expliquerai comment j'ai analysé un groupe de tablettes d'argile en cunéiforme, liées au calcul de l'aire du carré à Nippur à la période paléo-babylonienne,</w:t>
      </w:r>
      <w:r w:rsidRPr="008A5683">
        <w:rPr>
          <w:rFonts w:ascii="Arial" w:hAnsi="Arial" w:cs="Arial"/>
          <w:color w:val="313131"/>
          <w:sz w:val="16"/>
          <w:szCs w:val="16"/>
        </w:rPr>
        <w:t> </w:t>
      </w:r>
      <w:r w:rsidRPr="008A5683">
        <w:rPr>
          <w:rFonts w:ascii="Arial" w:hAnsi="Arial" w:cs="Arial"/>
          <w:sz w:val="16"/>
          <w:szCs w:val="16"/>
        </w:rPr>
        <w:t>en m'appuyant sur le travail de reconstitution du cursus des scribes proposé par Proust (2007). Mon travail est inspiré par la notion de variable didactique. Je me suis attachée à décrire les types de tâches nécessaires à la résolution du problème, en fonction de la mesure de la longueur du côté donnée en énoncé. J'expliciterai les précautions qui relèvent des travaux menés par les historiens autour des séries de problèmes et je discuterai notamment la nature de "série" de ma sélection. Je traiterai également de la pertinence d'outils de didactique dans l'analyse des résultats, de la TAD à  la notion d’assortiments (</w:t>
      </w:r>
      <w:proofErr w:type="spellStart"/>
      <w:r w:rsidRPr="008A5683">
        <w:rPr>
          <w:rFonts w:ascii="Arial" w:hAnsi="Arial" w:cs="Arial"/>
          <w:sz w:val="16"/>
          <w:szCs w:val="16"/>
        </w:rPr>
        <w:t>Genestoux-Esmenjaud</w:t>
      </w:r>
      <w:proofErr w:type="spellEnd"/>
      <w:r w:rsidRPr="008A5683">
        <w:rPr>
          <w:rFonts w:ascii="Arial" w:hAnsi="Arial" w:cs="Arial"/>
          <w:sz w:val="16"/>
          <w:szCs w:val="16"/>
        </w:rPr>
        <w:t>, 2001).</w:t>
      </w:r>
    </w:p>
    <w:p w14:paraId="5E9B5B96" w14:textId="77777777" w:rsidR="00374863" w:rsidRPr="002412E7" w:rsidRDefault="00374863" w:rsidP="00374863">
      <w:pPr>
        <w:widowControl w:val="0"/>
        <w:autoSpaceDE w:val="0"/>
        <w:autoSpaceDN w:val="0"/>
        <w:adjustRightInd w:val="0"/>
        <w:spacing w:after="60"/>
        <w:jc w:val="both"/>
        <w:rPr>
          <w:rFonts w:ascii="Arial" w:hAnsi="Arial" w:cs="Arial"/>
          <w:sz w:val="16"/>
          <w:szCs w:val="16"/>
        </w:rPr>
      </w:pPr>
      <w:r w:rsidRPr="002412E7">
        <w:rPr>
          <w:rFonts w:ascii="Arial" w:hAnsi="Arial" w:cs="Arial"/>
          <w:sz w:val="16"/>
          <w:szCs w:val="16"/>
        </w:rPr>
        <w:t>Tablettes analysées: tablettes de Nippur: </w:t>
      </w:r>
      <w:r w:rsidRPr="002412E7">
        <w:rPr>
          <w:rFonts w:ascii="Arial" w:hAnsi="Arial" w:cs="Arial"/>
          <w:color w:val="313131"/>
          <w:sz w:val="16"/>
          <w:szCs w:val="16"/>
        </w:rPr>
        <w:t>CBS 11318, UM 29-15-192, Ni 18, UM 55-21-076, IM 57846, IM 57828)</w:t>
      </w:r>
      <w:r w:rsidRPr="002412E7">
        <w:rPr>
          <w:rFonts w:ascii="Arial" w:hAnsi="Arial" w:cs="Arial"/>
          <w:sz w:val="16"/>
          <w:szCs w:val="16"/>
        </w:rPr>
        <w:t> ainsi que deux tablettes de provenance inconnue (</w:t>
      </w:r>
      <w:r w:rsidRPr="002412E7">
        <w:rPr>
          <w:rFonts w:ascii="Arial" w:hAnsi="Arial" w:cs="Arial"/>
          <w:color w:val="313131"/>
          <w:sz w:val="16"/>
          <w:szCs w:val="16"/>
        </w:rPr>
        <w:t>NBC 8082 et NCBT 1913).  </w:t>
      </w:r>
    </w:p>
    <w:p w14:paraId="09155FE3" w14:textId="77777777" w:rsidR="00374863" w:rsidRPr="002412E7" w:rsidRDefault="00374863" w:rsidP="00374863">
      <w:pPr>
        <w:widowControl w:val="0"/>
        <w:autoSpaceDE w:val="0"/>
        <w:autoSpaceDN w:val="0"/>
        <w:adjustRightInd w:val="0"/>
        <w:spacing w:after="60"/>
        <w:jc w:val="both"/>
        <w:rPr>
          <w:rFonts w:ascii="Arial" w:hAnsi="Arial" w:cs="Arial"/>
          <w:color w:val="313131"/>
          <w:sz w:val="16"/>
          <w:szCs w:val="16"/>
        </w:rPr>
      </w:pPr>
      <w:r w:rsidRPr="002412E7">
        <w:rPr>
          <w:rFonts w:ascii="Arial" w:hAnsi="Arial" w:cs="Arial"/>
          <w:color w:val="313131"/>
          <w:sz w:val="16"/>
          <w:szCs w:val="16"/>
        </w:rPr>
        <w:t>Proust, C. (2007). </w:t>
      </w:r>
      <w:r w:rsidRPr="002412E7">
        <w:rPr>
          <w:rFonts w:ascii="Arial" w:hAnsi="Arial" w:cs="Arial"/>
          <w:i/>
          <w:iCs/>
          <w:color w:val="313131"/>
          <w:sz w:val="16"/>
          <w:szCs w:val="16"/>
        </w:rPr>
        <w:t>Tablettes mathématiques de Nippur </w:t>
      </w:r>
      <w:r w:rsidRPr="002412E7">
        <w:rPr>
          <w:rFonts w:ascii="Arial" w:hAnsi="Arial" w:cs="Arial"/>
          <w:color w:val="313131"/>
          <w:sz w:val="16"/>
          <w:szCs w:val="16"/>
        </w:rPr>
        <w:t xml:space="preserve">(Vol. XVIII). Istanbul: IFEA, De </w:t>
      </w:r>
      <w:proofErr w:type="spellStart"/>
      <w:r w:rsidRPr="002412E7">
        <w:rPr>
          <w:rFonts w:ascii="Arial" w:hAnsi="Arial" w:cs="Arial"/>
          <w:color w:val="313131"/>
          <w:sz w:val="16"/>
          <w:szCs w:val="16"/>
        </w:rPr>
        <w:t>Boccard</w:t>
      </w:r>
      <w:proofErr w:type="spellEnd"/>
      <w:r w:rsidRPr="002412E7">
        <w:rPr>
          <w:rFonts w:ascii="Arial" w:hAnsi="Arial" w:cs="Arial"/>
          <w:color w:val="313131"/>
          <w:sz w:val="16"/>
          <w:szCs w:val="16"/>
        </w:rPr>
        <w:t>.</w:t>
      </w:r>
    </w:p>
    <w:p w14:paraId="140C4B81" w14:textId="77777777" w:rsidR="00374863" w:rsidRPr="002412E7" w:rsidRDefault="00374863" w:rsidP="00374863">
      <w:pPr>
        <w:spacing w:after="60"/>
        <w:jc w:val="both"/>
        <w:rPr>
          <w:rFonts w:ascii="Arial" w:hAnsi="Arial" w:cs="Arial"/>
          <w:color w:val="313131"/>
          <w:sz w:val="16"/>
          <w:szCs w:val="16"/>
        </w:rPr>
      </w:pPr>
      <w:proofErr w:type="spellStart"/>
      <w:r w:rsidRPr="002412E7">
        <w:rPr>
          <w:rFonts w:ascii="Arial" w:hAnsi="Arial" w:cs="Arial"/>
          <w:color w:val="313131"/>
          <w:sz w:val="16"/>
          <w:szCs w:val="16"/>
        </w:rPr>
        <w:t>Esmenjaud-Genestoux</w:t>
      </w:r>
      <w:proofErr w:type="spellEnd"/>
      <w:r w:rsidRPr="002412E7">
        <w:rPr>
          <w:rFonts w:ascii="Arial" w:hAnsi="Arial" w:cs="Arial"/>
          <w:color w:val="313131"/>
          <w:sz w:val="16"/>
          <w:szCs w:val="16"/>
        </w:rPr>
        <w:t>, F. (2001). Médiation entre la classe et le travail à la maison: le rôle des assortiments. </w:t>
      </w:r>
      <w:r w:rsidRPr="002412E7">
        <w:rPr>
          <w:rFonts w:ascii="Arial" w:hAnsi="Arial" w:cs="Arial"/>
          <w:i/>
          <w:iCs/>
          <w:color w:val="313131"/>
          <w:sz w:val="16"/>
          <w:szCs w:val="16"/>
        </w:rPr>
        <w:t xml:space="preserve">Dans Actes du Séminaire national de Didactique des Mathématiques, équipe </w:t>
      </w:r>
      <w:proofErr w:type="spellStart"/>
      <w:r w:rsidRPr="002412E7">
        <w:rPr>
          <w:rFonts w:ascii="Arial" w:hAnsi="Arial" w:cs="Arial"/>
          <w:i/>
          <w:iCs/>
          <w:color w:val="313131"/>
          <w:sz w:val="16"/>
          <w:szCs w:val="16"/>
        </w:rPr>
        <w:t>DIDIREM</w:t>
      </w:r>
      <w:proofErr w:type="gramStart"/>
      <w:r w:rsidRPr="002412E7">
        <w:rPr>
          <w:rFonts w:ascii="Arial" w:hAnsi="Arial" w:cs="Arial"/>
          <w:color w:val="313131"/>
          <w:sz w:val="16"/>
          <w:szCs w:val="16"/>
        </w:rPr>
        <w:t>,</w:t>
      </w:r>
      <w:r w:rsidRPr="002412E7">
        <w:rPr>
          <w:rFonts w:ascii="Arial" w:hAnsi="Arial" w:cs="Arial"/>
          <w:i/>
          <w:iCs/>
          <w:color w:val="313131"/>
          <w:sz w:val="16"/>
          <w:szCs w:val="16"/>
        </w:rPr>
        <w:t>Université</w:t>
      </w:r>
      <w:proofErr w:type="spellEnd"/>
      <w:proofErr w:type="gramEnd"/>
      <w:r w:rsidRPr="002412E7">
        <w:rPr>
          <w:rFonts w:ascii="Arial" w:hAnsi="Arial" w:cs="Arial"/>
          <w:i/>
          <w:iCs/>
          <w:color w:val="313131"/>
          <w:sz w:val="16"/>
          <w:szCs w:val="16"/>
        </w:rPr>
        <w:t xml:space="preserve"> Paris 7, </w:t>
      </w:r>
      <w:r w:rsidRPr="002412E7">
        <w:rPr>
          <w:rFonts w:ascii="Arial" w:hAnsi="Arial" w:cs="Arial"/>
          <w:color w:val="313131"/>
          <w:sz w:val="16"/>
          <w:szCs w:val="16"/>
        </w:rPr>
        <w:t>Paris.</w:t>
      </w:r>
    </w:p>
    <w:p w14:paraId="36B944A4" w14:textId="77777777" w:rsidR="00374863" w:rsidRPr="003253DF" w:rsidRDefault="00EA4031" w:rsidP="00374863">
      <w:pPr>
        <w:spacing w:before="200" w:after="60"/>
        <w:jc w:val="both"/>
        <w:rPr>
          <w:rFonts w:ascii="Arial" w:hAnsi="Arial" w:cs="Arial"/>
          <w:b/>
          <w:color w:val="313131"/>
          <w:sz w:val="20"/>
          <w:szCs w:val="20"/>
          <w:lang w:val="en-GB"/>
        </w:rPr>
      </w:pPr>
      <w:hyperlink r:id="rId16" w:history="1">
        <w:r w:rsidR="00374863" w:rsidRPr="003253DF">
          <w:rPr>
            <w:rStyle w:val="Lienhypertexte"/>
            <w:rFonts w:ascii="Arial" w:hAnsi="Arial" w:cs="Arial"/>
            <w:b/>
            <w:sz w:val="20"/>
            <w:szCs w:val="20"/>
            <w:lang w:val="en-GB"/>
          </w:rPr>
          <w:t>Luxizi Zhang </w:t>
        </w:r>
      </w:hyperlink>
      <w:r w:rsidR="00374863" w:rsidRPr="003253DF">
        <w:rPr>
          <w:rFonts w:ascii="Arial" w:hAnsi="Arial" w:cs="Arial"/>
          <w:b/>
          <w:color w:val="313131"/>
          <w:sz w:val="20"/>
          <w:szCs w:val="20"/>
          <w:lang w:val="en-GB"/>
        </w:rPr>
        <w:t xml:space="preserve">(EducTice, S2HEP, Lyon): </w:t>
      </w:r>
      <w:r w:rsidR="00374863" w:rsidRPr="003253DF">
        <w:rPr>
          <w:rFonts w:ascii="Arial" w:hAnsi="Arial" w:cs="Arial"/>
          <w:b/>
          <w:i/>
          <w:sz w:val="20"/>
          <w:szCs w:val="20"/>
          <w:lang w:val="en-GB"/>
        </w:rPr>
        <w:t>Theoretical frameworks of variations in the teaching</w:t>
      </w:r>
    </w:p>
    <w:p w14:paraId="7C8B2AEE" w14:textId="77777777" w:rsidR="00374863" w:rsidRPr="008A5683" w:rsidRDefault="00374863" w:rsidP="00374863">
      <w:pPr>
        <w:widowControl w:val="0"/>
        <w:autoSpaceDE w:val="0"/>
        <w:autoSpaceDN w:val="0"/>
        <w:adjustRightInd w:val="0"/>
        <w:spacing w:after="60"/>
        <w:jc w:val="both"/>
        <w:rPr>
          <w:rFonts w:ascii="Arial" w:hAnsi="Arial" w:cs="Arial"/>
          <w:sz w:val="16"/>
          <w:szCs w:val="16"/>
          <w:lang w:val="en-GB"/>
        </w:rPr>
      </w:pPr>
      <w:r w:rsidRPr="008A5683">
        <w:rPr>
          <w:rFonts w:ascii="Arial" w:hAnsi="Arial" w:cs="Arial"/>
          <w:sz w:val="16"/>
          <w:szCs w:val="16"/>
          <w:lang w:val="en-GB"/>
        </w:rPr>
        <w:t xml:space="preserve">Teaching and learning mathematics through variation has a long history in China and has been used consciously or unconsciously by teachers (Bao et al., 2003). To figure out and </w:t>
      </w:r>
      <w:proofErr w:type="spellStart"/>
      <w:r w:rsidRPr="008A5683">
        <w:rPr>
          <w:rFonts w:ascii="Arial" w:hAnsi="Arial" w:cs="Arial"/>
          <w:sz w:val="16"/>
          <w:szCs w:val="16"/>
          <w:lang w:val="en-GB"/>
        </w:rPr>
        <w:t>analyze</w:t>
      </w:r>
      <w:proofErr w:type="spellEnd"/>
      <w:r w:rsidRPr="008A5683">
        <w:rPr>
          <w:rFonts w:ascii="Arial" w:hAnsi="Arial" w:cs="Arial"/>
          <w:sz w:val="16"/>
          <w:szCs w:val="16"/>
          <w:lang w:val="en-GB"/>
        </w:rPr>
        <w:t xml:space="preserve"> the situation of teaching through variation in France and also in China, I will mainly present “Bianshi </w:t>
      </w:r>
      <w:proofErr w:type="spellStart"/>
      <w:r w:rsidRPr="008A5683">
        <w:rPr>
          <w:rFonts w:ascii="Arial" w:hAnsi="Arial" w:cs="Arial"/>
          <w:sz w:val="16"/>
          <w:szCs w:val="16"/>
          <w:lang w:val="en-GB"/>
        </w:rPr>
        <w:t>jiaoxue</w:t>
      </w:r>
      <w:proofErr w:type="spellEnd"/>
      <w:r w:rsidRPr="008A5683">
        <w:rPr>
          <w:rFonts w:ascii="Arial" w:hAnsi="Arial" w:cs="Arial"/>
          <w:sz w:val="16"/>
          <w:szCs w:val="16"/>
          <w:lang w:val="en-GB"/>
        </w:rPr>
        <w:t>” in China and try to construct a bridge between Chinese theoretical framework and French theoretical framework (Brousseau, 1986).</w:t>
      </w:r>
    </w:p>
    <w:p w14:paraId="01FAE71F" w14:textId="77777777" w:rsidR="00374863" w:rsidRPr="002412E7" w:rsidRDefault="00374863" w:rsidP="00374863">
      <w:pPr>
        <w:widowControl w:val="0"/>
        <w:autoSpaceDE w:val="0"/>
        <w:autoSpaceDN w:val="0"/>
        <w:adjustRightInd w:val="0"/>
        <w:spacing w:after="60"/>
        <w:jc w:val="both"/>
        <w:rPr>
          <w:rFonts w:ascii="Arial" w:hAnsi="Arial" w:cs="Arial"/>
          <w:sz w:val="16"/>
          <w:szCs w:val="16"/>
        </w:rPr>
      </w:pPr>
      <w:r w:rsidRPr="00BD0193">
        <w:rPr>
          <w:rFonts w:ascii="Arial" w:hAnsi="Arial" w:cs="Arial"/>
          <w:sz w:val="16"/>
          <w:szCs w:val="16"/>
          <w:lang w:val="en-GB"/>
        </w:rPr>
        <w:t xml:space="preserve">Bao, J., Huang, R., Yi, L., &amp; Gu, L. (2003). </w:t>
      </w:r>
      <w:proofErr w:type="gramStart"/>
      <w:r w:rsidRPr="00BD0193">
        <w:rPr>
          <w:rFonts w:ascii="Arial" w:hAnsi="Arial" w:cs="Arial"/>
          <w:sz w:val="16"/>
          <w:szCs w:val="16"/>
          <w:lang w:val="en-GB"/>
        </w:rPr>
        <w:t xml:space="preserve">Continued study of “Bianshi </w:t>
      </w:r>
      <w:proofErr w:type="spellStart"/>
      <w:r w:rsidRPr="00BD0193">
        <w:rPr>
          <w:rFonts w:ascii="Arial" w:hAnsi="Arial" w:cs="Arial"/>
          <w:sz w:val="16"/>
          <w:szCs w:val="16"/>
          <w:lang w:val="en-GB"/>
        </w:rPr>
        <w:t>Jiaoxue</w:t>
      </w:r>
      <w:proofErr w:type="spellEnd"/>
      <w:r w:rsidRPr="00BD0193">
        <w:rPr>
          <w:rFonts w:ascii="Arial" w:hAnsi="Arial" w:cs="Arial"/>
          <w:sz w:val="16"/>
          <w:szCs w:val="16"/>
          <w:lang w:val="en-GB"/>
        </w:rPr>
        <w:t>” [Teaching with variation].</w:t>
      </w:r>
      <w:proofErr w:type="gramEnd"/>
      <w:r w:rsidRPr="00BD0193">
        <w:rPr>
          <w:rFonts w:ascii="Arial" w:hAnsi="Arial" w:cs="Arial"/>
          <w:sz w:val="16"/>
          <w:szCs w:val="16"/>
          <w:lang w:val="en-GB"/>
        </w:rPr>
        <w:t xml:space="preserve"> </w:t>
      </w:r>
      <w:r w:rsidRPr="00A54BBE">
        <w:rPr>
          <w:rFonts w:ascii="Arial" w:hAnsi="Arial" w:cs="Arial"/>
          <w:i/>
          <w:sz w:val="16"/>
          <w:szCs w:val="16"/>
        </w:rPr>
        <w:t>Mathematics Teaching</w:t>
      </w:r>
      <w:r w:rsidRPr="002412E7">
        <w:rPr>
          <w:rFonts w:ascii="Arial" w:hAnsi="Arial" w:cs="Arial"/>
          <w:sz w:val="16"/>
          <w:szCs w:val="16"/>
        </w:rPr>
        <w:t>, 2, 6-10.</w:t>
      </w:r>
    </w:p>
    <w:p w14:paraId="11815114" w14:textId="77777777" w:rsidR="00374863" w:rsidRDefault="00374863" w:rsidP="00374863">
      <w:pPr>
        <w:spacing w:after="60"/>
        <w:jc w:val="both"/>
        <w:rPr>
          <w:rFonts w:ascii="Arial" w:hAnsi="Arial" w:cs="Arial"/>
          <w:sz w:val="16"/>
          <w:szCs w:val="16"/>
        </w:rPr>
      </w:pPr>
      <w:r w:rsidRPr="002412E7">
        <w:rPr>
          <w:rFonts w:ascii="Arial" w:hAnsi="Arial" w:cs="Arial"/>
          <w:sz w:val="16"/>
          <w:szCs w:val="16"/>
        </w:rPr>
        <w:t>Brousseau, G. (1986). Fondements et méthodes de la didactique des mathématiques, Recherches en didactique des mathématiques, 7(2), 33-115.</w:t>
      </w:r>
    </w:p>
    <w:p w14:paraId="29102451" w14:textId="77777777" w:rsidR="00374863" w:rsidRPr="003253DF" w:rsidRDefault="00EA4031" w:rsidP="00374863">
      <w:pPr>
        <w:spacing w:before="200" w:after="60"/>
        <w:jc w:val="both"/>
        <w:rPr>
          <w:rFonts w:ascii="Arial" w:hAnsi="Arial" w:cs="Arial"/>
          <w:b/>
          <w:color w:val="313131"/>
          <w:sz w:val="20"/>
          <w:szCs w:val="20"/>
        </w:rPr>
      </w:pPr>
      <w:hyperlink r:id="rId17" w:history="1">
        <w:proofErr w:type="spellStart"/>
        <w:r w:rsidR="00374863" w:rsidRPr="003253DF">
          <w:rPr>
            <w:rStyle w:val="Lienhypertexte"/>
            <w:rFonts w:ascii="Arial" w:hAnsi="Arial" w:cs="Arial"/>
            <w:b/>
            <w:sz w:val="20"/>
            <w:szCs w:val="20"/>
          </w:rPr>
          <w:t>Katalin</w:t>
        </w:r>
        <w:proofErr w:type="spellEnd"/>
        <w:r w:rsidR="00374863" w:rsidRPr="003253DF">
          <w:rPr>
            <w:rStyle w:val="Lienhypertexte"/>
            <w:rFonts w:ascii="Arial" w:hAnsi="Arial" w:cs="Arial"/>
            <w:b/>
            <w:sz w:val="20"/>
            <w:szCs w:val="20"/>
          </w:rPr>
          <w:t xml:space="preserve"> </w:t>
        </w:r>
        <w:proofErr w:type="spellStart"/>
        <w:r w:rsidR="00374863" w:rsidRPr="003253DF">
          <w:rPr>
            <w:rStyle w:val="Lienhypertexte"/>
            <w:rFonts w:ascii="Arial" w:hAnsi="Arial" w:cs="Arial"/>
            <w:b/>
            <w:sz w:val="20"/>
            <w:szCs w:val="20"/>
          </w:rPr>
          <w:t>Gosztonyi</w:t>
        </w:r>
        <w:proofErr w:type="spellEnd"/>
      </w:hyperlink>
      <w:r w:rsidR="00374863" w:rsidRPr="003253DF">
        <w:rPr>
          <w:rFonts w:ascii="Arial" w:hAnsi="Arial" w:cs="Arial"/>
          <w:b/>
          <w:sz w:val="20"/>
          <w:szCs w:val="20"/>
        </w:rPr>
        <w:t xml:space="preserve"> </w:t>
      </w:r>
      <w:r w:rsidR="00374863" w:rsidRPr="003253DF">
        <w:rPr>
          <w:rFonts w:ascii="Arial" w:hAnsi="Arial" w:cs="Arial"/>
          <w:b/>
          <w:color w:val="313131"/>
          <w:sz w:val="20"/>
          <w:szCs w:val="20"/>
        </w:rPr>
        <w:t xml:space="preserve">(Eötvös </w:t>
      </w:r>
      <w:proofErr w:type="spellStart"/>
      <w:r w:rsidR="00374863" w:rsidRPr="003253DF">
        <w:rPr>
          <w:rFonts w:ascii="Arial" w:hAnsi="Arial" w:cs="Arial"/>
          <w:b/>
          <w:color w:val="313131"/>
          <w:sz w:val="20"/>
          <w:szCs w:val="20"/>
        </w:rPr>
        <w:t>Loránd</w:t>
      </w:r>
      <w:proofErr w:type="spellEnd"/>
      <w:r w:rsidR="00374863" w:rsidRPr="003253DF">
        <w:rPr>
          <w:rFonts w:ascii="Arial" w:hAnsi="Arial" w:cs="Arial"/>
          <w:b/>
          <w:color w:val="313131"/>
          <w:sz w:val="20"/>
          <w:szCs w:val="20"/>
        </w:rPr>
        <w:t xml:space="preserve"> University of Budapest, </w:t>
      </w:r>
      <w:proofErr w:type="spellStart"/>
      <w:r w:rsidR="00374863" w:rsidRPr="003253DF">
        <w:rPr>
          <w:rFonts w:ascii="Arial" w:hAnsi="Arial" w:cs="Arial"/>
          <w:b/>
          <w:color w:val="313131"/>
          <w:sz w:val="20"/>
          <w:szCs w:val="20"/>
        </w:rPr>
        <w:t>Hungary</w:t>
      </w:r>
      <w:proofErr w:type="spellEnd"/>
      <w:r w:rsidR="00374863" w:rsidRPr="003253DF">
        <w:rPr>
          <w:rFonts w:ascii="Arial" w:hAnsi="Arial" w:cs="Arial"/>
          <w:b/>
          <w:color w:val="313131"/>
          <w:sz w:val="20"/>
          <w:szCs w:val="20"/>
        </w:rPr>
        <w:t xml:space="preserve">): </w:t>
      </w:r>
      <w:r w:rsidR="00374863" w:rsidRPr="003253DF">
        <w:rPr>
          <w:rFonts w:ascii="Arial" w:hAnsi="Arial" w:cs="Arial"/>
          <w:b/>
          <w:i/>
          <w:sz w:val="20"/>
          <w:szCs w:val="20"/>
        </w:rPr>
        <w:t>Séries de problèmes dans l’approche hongroise de l’enseignement des mathématiques par « découverte guidée »</w:t>
      </w:r>
    </w:p>
    <w:p w14:paraId="6B4DFCCF" w14:textId="77777777" w:rsidR="00374863" w:rsidRPr="008A5683" w:rsidRDefault="00374863" w:rsidP="00374863">
      <w:pPr>
        <w:widowControl w:val="0"/>
        <w:autoSpaceDE w:val="0"/>
        <w:autoSpaceDN w:val="0"/>
        <w:adjustRightInd w:val="0"/>
        <w:spacing w:after="60"/>
        <w:jc w:val="both"/>
        <w:rPr>
          <w:rFonts w:ascii="Arial" w:hAnsi="Arial" w:cs="Arial"/>
          <w:sz w:val="16"/>
          <w:szCs w:val="16"/>
        </w:rPr>
      </w:pPr>
      <w:r w:rsidRPr="008A5683">
        <w:rPr>
          <w:rFonts w:ascii="Arial" w:hAnsi="Arial" w:cs="Arial"/>
          <w:sz w:val="16"/>
          <w:szCs w:val="16"/>
        </w:rPr>
        <w:t>Dans la tradition hongroise de l’enseignement des mathématiques par “découverte guidée”, une grande importance est accordée à la construction des longs processus d’enseignement en forme de des séries de problèmes. En même temps, comme l’approche n’est pas théorisée, il manque des outils théoriques pour décrire cette pratique existante dans un cercle restreint d’enseignants, et par conséquence, la diffusion de cette pratique pose également problème. A partir de quelques exemples présentés, je discuterai des diverses questions liées à la théorisation et analyse des séries de problèmes : comment peut-on définir leur rôle dans les processus d’enseignement : comment permettent-il articuler démarche d’investigation et développent des savoirs ? Comment peut-on décrire, caractériser, représenter leur structure ? Comment peut-on analyser le travail des enseignant avec et sur des séries de problèmes : quel est leur rôle dans le court et long-terme planification, comment sont-ils mis en place et adaptés au évènements de la classe ?</w:t>
      </w:r>
    </w:p>
    <w:p w14:paraId="29E872AF" w14:textId="77777777" w:rsidR="00374863" w:rsidRPr="00FC0751" w:rsidRDefault="00374863" w:rsidP="00374863">
      <w:pPr>
        <w:widowControl w:val="0"/>
        <w:autoSpaceDE w:val="0"/>
        <w:autoSpaceDN w:val="0"/>
        <w:adjustRightInd w:val="0"/>
        <w:spacing w:after="60"/>
        <w:jc w:val="both"/>
        <w:rPr>
          <w:rFonts w:ascii="Arial" w:hAnsi="Arial" w:cs="Arial"/>
          <w:sz w:val="16"/>
          <w:szCs w:val="16"/>
          <w:lang w:val="en-GB"/>
        </w:rPr>
      </w:pPr>
      <w:r w:rsidRPr="00FC0751">
        <w:rPr>
          <w:rFonts w:ascii="Arial" w:hAnsi="Arial" w:cs="Arial"/>
          <w:sz w:val="16"/>
          <w:szCs w:val="16"/>
        </w:rPr>
        <w:t xml:space="preserve">Bernard, A. (Ed.). (2015). </w:t>
      </w:r>
      <w:r w:rsidRPr="00FC0751">
        <w:rPr>
          <w:rFonts w:ascii="Arial" w:hAnsi="Arial" w:cs="Arial"/>
          <w:i/>
          <w:iCs/>
          <w:sz w:val="16"/>
          <w:szCs w:val="16"/>
        </w:rPr>
        <w:t>Les séries de problèmes, un genre au carrefour des cultures</w:t>
      </w:r>
      <w:r w:rsidRPr="00FC0751">
        <w:rPr>
          <w:rFonts w:ascii="Arial" w:hAnsi="Arial" w:cs="Arial"/>
          <w:sz w:val="16"/>
          <w:szCs w:val="16"/>
        </w:rPr>
        <w:t xml:space="preserve">. </w:t>
      </w:r>
      <w:r w:rsidRPr="00FC0751">
        <w:rPr>
          <w:rFonts w:ascii="Arial" w:hAnsi="Arial" w:cs="Arial"/>
          <w:sz w:val="16"/>
          <w:szCs w:val="16"/>
          <w:lang w:val="en-GB"/>
        </w:rPr>
        <w:t xml:space="preserve">EDP Sciences. Retrieved from </w:t>
      </w:r>
      <w:hyperlink r:id="rId18" w:history="1">
        <w:r w:rsidRPr="00FC0751">
          <w:rPr>
            <w:rStyle w:val="Lienhypertexte"/>
            <w:rFonts w:ascii="Arial" w:hAnsi="Arial" w:cs="Arial"/>
            <w:sz w:val="16"/>
            <w:szCs w:val="16"/>
            <w:lang w:val="en-GB"/>
          </w:rPr>
          <w:t>https://www.shs-conferences.org/articles/shsconf/abs/2015/09/contents/contents.html</w:t>
        </w:r>
      </w:hyperlink>
    </w:p>
    <w:p w14:paraId="55846330" w14:textId="77777777" w:rsidR="00374863" w:rsidRPr="00FC0751" w:rsidRDefault="00374863" w:rsidP="00374863">
      <w:pPr>
        <w:widowControl w:val="0"/>
        <w:autoSpaceDE w:val="0"/>
        <w:autoSpaceDN w:val="0"/>
        <w:adjustRightInd w:val="0"/>
        <w:spacing w:after="60"/>
        <w:jc w:val="both"/>
        <w:rPr>
          <w:rFonts w:ascii="Arial" w:hAnsi="Arial" w:cs="Arial"/>
          <w:sz w:val="16"/>
          <w:szCs w:val="16"/>
          <w:lang w:val="en-GB"/>
        </w:rPr>
      </w:pPr>
      <w:proofErr w:type="spellStart"/>
      <w:proofErr w:type="gramStart"/>
      <w:r w:rsidRPr="00FC0751">
        <w:rPr>
          <w:rFonts w:ascii="Arial" w:hAnsi="Arial" w:cs="Arial"/>
          <w:sz w:val="16"/>
          <w:szCs w:val="16"/>
          <w:lang w:val="en-GB"/>
        </w:rPr>
        <w:t>Eglesz</w:t>
      </w:r>
      <w:proofErr w:type="spellEnd"/>
      <w:r w:rsidRPr="00FC0751">
        <w:rPr>
          <w:rFonts w:ascii="Arial" w:hAnsi="Arial" w:cs="Arial"/>
          <w:sz w:val="16"/>
          <w:szCs w:val="16"/>
          <w:lang w:val="en-GB"/>
        </w:rPr>
        <w:t xml:space="preserve">, I., </w:t>
      </w:r>
      <w:proofErr w:type="spellStart"/>
      <w:r w:rsidRPr="00FC0751">
        <w:rPr>
          <w:rFonts w:ascii="Arial" w:hAnsi="Arial" w:cs="Arial"/>
          <w:sz w:val="16"/>
          <w:szCs w:val="16"/>
          <w:lang w:val="en-GB"/>
        </w:rPr>
        <w:t>Kovács</w:t>
      </w:r>
      <w:proofErr w:type="spellEnd"/>
      <w:r w:rsidRPr="00FC0751">
        <w:rPr>
          <w:rFonts w:ascii="Arial" w:hAnsi="Arial" w:cs="Arial"/>
          <w:sz w:val="16"/>
          <w:szCs w:val="16"/>
          <w:lang w:val="en-GB"/>
        </w:rPr>
        <w:t xml:space="preserve">, Cs., &amp; </w:t>
      </w:r>
      <w:proofErr w:type="spellStart"/>
      <w:r w:rsidRPr="00FC0751">
        <w:rPr>
          <w:rFonts w:ascii="Arial" w:hAnsi="Arial" w:cs="Arial"/>
          <w:sz w:val="16"/>
          <w:szCs w:val="16"/>
          <w:lang w:val="en-GB"/>
        </w:rPr>
        <w:t>Sztrókayné</w:t>
      </w:r>
      <w:proofErr w:type="spellEnd"/>
      <w:r w:rsidRPr="00FC0751">
        <w:rPr>
          <w:rFonts w:ascii="Arial" w:hAnsi="Arial" w:cs="Arial"/>
          <w:sz w:val="16"/>
          <w:szCs w:val="16"/>
          <w:lang w:val="en-GB"/>
        </w:rPr>
        <w:t xml:space="preserve"> </w:t>
      </w:r>
      <w:proofErr w:type="spellStart"/>
      <w:r w:rsidRPr="00FC0751">
        <w:rPr>
          <w:rFonts w:ascii="Arial" w:hAnsi="Arial" w:cs="Arial"/>
          <w:sz w:val="16"/>
          <w:szCs w:val="16"/>
          <w:lang w:val="en-GB"/>
        </w:rPr>
        <w:t>Földvári</w:t>
      </w:r>
      <w:proofErr w:type="spellEnd"/>
      <w:r w:rsidRPr="00FC0751">
        <w:rPr>
          <w:rFonts w:ascii="Arial" w:hAnsi="Arial" w:cs="Arial"/>
          <w:sz w:val="16"/>
          <w:szCs w:val="16"/>
          <w:lang w:val="en-GB"/>
        </w:rPr>
        <w:t>, V. (1979</w:t>
      </w:r>
      <w:r w:rsidRPr="00FC0751">
        <w:rPr>
          <w:rFonts w:ascii="Arial" w:hAnsi="Arial" w:cs="Arial"/>
          <w:i/>
          <w:sz w:val="16"/>
          <w:szCs w:val="16"/>
          <w:lang w:val="en-GB"/>
        </w:rPr>
        <w:t>).</w:t>
      </w:r>
      <w:proofErr w:type="gramEnd"/>
      <w:r w:rsidRPr="00FC0751">
        <w:rPr>
          <w:rFonts w:ascii="Arial" w:hAnsi="Arial" w:cs="Arial"/>
          <w:i/>
          <w:sz w:val="16"/>
          <w:szCs w:val="16"/>
          <w:lang w:val="en-GB"/>
        </w:rPr>
        <w:t xml:space="preserve"> </w:t>
      </w:r>
      <w:proofErr w:type="spellStart"/>
      <w:proofErr w:type="gramStart"/>
      <w:r w:rsidRPr="00FC0751">
        <w:rPr>
          <w:rFonts w:ascii="Arial" w:hAnsi="Arial" w:cs="Arial"/>
          <w:i/>
          <w:sz w:val="16"/>
          <w:szCs w:val="16"/>
          <w:lang w:val="en-GB"/>
        </w:rPr>
        <w:t>Matematika</w:t>
      </w:r>
      <w:proofErr w:type="spellEnd"/>
      <w:r w:rsidRPr="00FC0751">
        <w:rPr>
          <w:rFonts w:ascii="Arial" w:hAnsi="Arial" w:cs="Arial"/>
          <w:i/>
          <w:sz w:val="16"/>
          <w:szCs w:val="16"/>
          <w:lang w:val="en-GB"/>
        </w:rPr>
        <w:t xml:space="preserve"> </w:t>
      </w:r>
      <w:proofErr w:type="spellStart"/>
      <w:r w:rsidRPr="00FC0751">
        <w:rPr>
          <w:rFonts w:ascii="Arial" w:hAnsi="Arial" w:cs="Arial"/>
          <w:i/>
          <w:sz w:val="16"/>
          <w:szCs w:val="16"/>
          <w:lang w:val="en-GB"/>
        </w:rPr>
        <w:t>általános</w:t>
      </w:r>
      <w:proofErr w:type="spellEnd"/>
      <w:r w:rsidRPr="00FC0751">
        <w:rPr>
          <w:rFonts w:ascii="Arial" w:hAnsi="Arial" w:cs="Arial"/>
          <w:i/>
          <w:sz w:val="16"/>
          <w:szCs w:val="16"/>
          <w:lang w:val="en-GB"/>
        </w:rPr>
        <w:t xml:space="preserve"> </w:t>
      </w:r>
      <w:proofErr w:type="spellStart"/>
      <w:r w:rsidRPr="00FC0751">
        <w:rPr>
          <w:rFonts w:ascii="Arial" w:hAnsi="Arial" w:cs="Arial"/>
          <w:i/>
          <w:sz w:val="16"/>
          <w:szCs w:val="16"/>
          <w:lang w:val="en-GB"/>
        </w:rPr>
        <w:t>iskola</w:t>
      </w:r>
      <w:proofErr w:type="spellEnd"/>
      <w:r w:rsidRPr="00FC0751">
        <w:rPr>
          <w:rFonts w:ascii="Arial" w:hAnsi="Arial" w:cs="Arial"/>
          <w:i/>
          <w:sz w:val="16"/>
          <w:szCs w:val="16"/>
          <w:lang w:val="en-GB"/>
        </w:rPr>
        <w:t xml:space="preserve"> 5.</w:t>
      </w:r>
      <w:proofErr w:type="gramEnd"/>
      <w:r w:rsidRPr="00FC0751">
        <w:rPr>
          <w:rFonts w:ascii="Arial" w:hAnsi="Arial" w:cs="Arial"/>
          <w:i/>
          <w:sz w:val="16"/>
          <w:szCs w:val="16"/>
          <w:lang w:val="en-GB"/>
        </w:rPr>
        <w:t xml:space="preserve"> </w:t>
      </w:r>
      <w:r w:rsidRPr="00FC0751">
        <w:rPr>
          <w:rFonts w:ascii="Arial" w:hAnsi="Arial" w:cs="Arial"/>
          <w:sz w:val="16"/>
          <w:szCs w:val="16"/>
          <w:lang w:val="en-GB"/>
        </w:rPr>
        <w:t xml:space="preserve"> </w:t>
      </w:r>
      <w:proofErr w:type="gramStart"/>
      <w:r w:rsidRPr="00FC0751">
        <w:rPr>
          <w:rFonts w:ascii="Arial" w:hAnsi="Arial" w:cs="Arial"/>
          <w:sz w:val="16"/>
          <w:szCs w:val="16"/>
          <w:lang w:val="en-GB"/>
        </w:rPr>
        <w:t>Budapest :</w:t>
      </w:r>
      <w:proofErr w:type="gramEnd"/>
      <w:r w:rsidRPr="00FC0751">
        <w:rPr>
          <w:rFonts w:ascii="Arial" w:hAnsi="Arial" w:cs="Arial"/>
          <w:sz w:val="16"/>
          <w:szCs w:val="16"/>
          <w:lang w:val="en-GB"/>
        </w:rPr>
        <w:t xml:space="preserve"> </w:t>
      </w:r>
      <w:proofErr w:type="spellStart"/>
      <w:r w:rsidRPr="00FC0751">
        <w:rPr>
          <w:rFonts w:ascii="Arial" w:hAnsi="Arial" w:cs="Arial"/>
          <w:sz w:val="16"/>
          <w:szCs w:val="16"/>
          <w:lang w:val="en-GB"/>
        </w:rPr>
        <w:t>Tankönyvkiadó</w:t>
      </w:r>
      <w:proofErr w:type="spellEnd"/>
      <w:r w:rsidRPr="00FC0751">
        <w:rPr>
          <w:rFonts w:ascii="Arial" w:hAnsi="Arial" w:cs="Arial"/>
          <w:sz w:val="16"/>
          <w:szCs w:val="16"/>
          <w:lang w:val="en-GB"/>
        </w:rPr>
        <w:t>.</w:t>
      </w:r>
    </w:p>
    <w:p w14:paraId="52DE0A71" w14:textId="77777777" w:rsidR="00374863" w:rsidRPr="00FC0751" w:rsidRDefault="00374863" w:rsidP="00374863">
      <w:pPr>
        <w:widowControl w:val="0"/>
        <w:autoSpaceDE w:val="0"/>
        <w:autoSpaceDN w:val="0"/>
        <w:adjustRightInd w:val="0"/>
        <w:spacing w:after="60"/>
        <w:jc w:val="both"/>
        <w:rPr>
          <w:rFonts w:ascii="Arial" w:hAnsi="Arial" w:cs="Arial"/>
          <w:sz w:val="16"/>
          <w:szCs w:val="16"/>
          <w:lang w:val="en-GB"/>
        </w:rPr>
      </w:pPr>
      <w:proofErr w:type="spellStart"/>
      <w:r w:rsidRPr="00FC0751">
        <w:rPr>
          <w:rFonts w:ascii="Arial" w:hAnsi="Arial" w:cs="Arial"/>
          <w:sz w:val="16"/>
          <w:szCs w:val="16"/>
          <w:lang w:val="en-GB"/>
        </w:rPr>
        <w:t>Gosztonyi</w:t>
      </w:r>
      <w:proofErr w:type="spellEnd"/>
      <w:r w:rsidRPr="00FC0751">
        <w:rPr>
          <w:rFonts w:ascii="Arial" w:hAnsi="Arial" w:cs="Arial"/>
          <w:sz w:val="16"/>
          <w:szCs w:val="16"/>
          <w:lang w:val="en-GB"/>
        </w:rPr>
        <w:t xml:space="preserve">, K. (2017). Understanding didactical conceptions through their history: a comparison of </w:t>
      </w:r>
      <w:proofErr w:type="spellStart"/>
      <w:proofErr w:type="gramStart"/>
      <w:r w:rsidRPr="00FC0751">
        <w:rPr>
          <w:rFonts w:ascii="Arial" w:hAnsi="Arial" w:cs="Arial"/>
          <w:sz w:val="16"/>
          <w:szCs w:val="16"/>
          <w:lang w:val="en-GB"/>
        </w:rPr>
        <w:t>Brousseau’s</w:t>
      </w:r>
      <w:proofErr w:type="spellEnd"/>
      <w:proofErr w:type="gramEnd"/>
      <w:r w:rsidRPr="00FC0751">
        <w:rPr>
          <w:rFonts w:ascii="Arial" w:hAnsi="Arial" w:cs="Arial"/>
          <w:sz w:val="16"/>
          <w:szCs w:val="16"/>
          <w:lang w:val="en-GB"/>
        </w:rPr>
        <w:t xml:space="preserve"> and </w:t>
      </w:r>
      <w:proofErr w:type="spellStart"/>
      <w:r w:rsidRPr="00FC0751">
        <w:rPr>
          <w:rFonts w:ascii="Arial" w:hAnsi="Arial" w:cs="Arial"/>
          <w:sz w:val="16"/>
          <w:szCs w:val="16"/>
          <w:lang w:val="en-GB"/>
        </w:rPr>
        <w:t>Varga’s</w:t>
      </w:r>
      <w:proofErr w:type="spellEnd"/>
      <w:r w:rsidRPr="00FC0751">
        <w:rPr>
          <w:rFonts w:ascii="Arial" w:hAnsi="Arial" w:cs="Arial"/>
          <w:sz w:val="16"/>
          <w:szCs w:val="16"/>
          <w:lang w:val="en-GB"/>
        </w:rPr>
        <w:t xml:space="preserve"> experimentations. Presented at the CERME 10, Dublin. Retrieved from </w:t>
      </w:r>
      <w:hyperlink r:id="rId19" w:history="1">
        <w:r w:rsidRPr="00FC0751">
          <w:rPr>
            <w:rStyle w:val="Lienhypertexte"/>
            <w:rFonts w:ascii="Arial" w:hAnsi="Arial" w:cs="Arial"/>
            <w:sz w:val="16"/>
            <w:szCs w:val="16"/>
            <w:lang w:val="en-GB"/>
          </w:rPr>
          <w:t>https://keynote.conference-services.net/resources/444/5118/pdf/CERME10_0594.pdf</w:t>
        </w:r>
      </w:hyperlink>
    </w:p>
    <w:p w14:paraId="2F9CBEB8" w14:textId="4F20C135" w:rsidR="002412E7" w:rsidRPr="002412E7" w:rsidRDefault="00374863" w:rsidP="009C62E2">
      <w:pPr>
        <w:widowControl w:val="0"/>
        <w:autoSpaceDE w:val="0"/>
        <w:autoSpaceDN w:val="0"/>
        <w:adjustRightInd w:val="0"/>
        <w:spacing w:after="60"/>
        <w:jc w:val="both"/>
        <w:rPr>
          <w:rFonts w:ascii="Arial" w:hAnsi="Arial" w:cs="Arial"/>
          <w:sz w:val="16"/>
          <w:szCs w:val="16"/>
        </w:rPr>
      </w:pPr>
      <w:r w:rsidRPr="00FC0751">
        <w:rPr>
          <w:rFonts w:ascii="Arial" w:hAnsi="Arial" w:cs="Arial"/>
          <w:sz w:val="16"/>
          <w:szCs w:val="16"/>
        </w:rPr>
        <w:t xml:space="preserve">Gueudet, G., &amp; Trouche, L. (Eds.). (2010). </w:t>
      </w:r>
      <w:r w:rsidRPr="00FC0751">
        <w:rPr>
          <w:rFonts w:ascii="Arial" w:hAnsi="Arial" w:cs="Arial"/>
          <w:i/>
          <w:iCs/>
          <w:sz w:val="16"/>
          <w:szCs w:val="16"/>
        </w:rPr>
        <w:t>Ressources vives. Le travail documentaire des professeurs en mathématiques</w:t>
      </w:r>
      <w:r w:rsidRPr="00FC0751">
        <w:rPr>
          <w:rFonts w:ascii="Arial" w:hAnsi="Arial" w:cs="Arial"/>
          <w:sz w:val="16"/>
          <w:szCs w:val="16"/>
        </w:rPr>
        <w:t xml:space="preserve">. Rennes, France: Presses Universitaires de Rennes. </w:t>
      </w:r>
      <w:proofErr w:type="spellStart"/>
      <w:r w:rsidRPr="00FC0751">
        <w:rPr>
          <w:rFonts w:ascii="Arial" w:hAnsi="Arial" w:cs="Arial"/>
          <w:sz w:val="16"/>
          <w:szCs w:val="16"/>
        </w:rPr>
        <w:t>Retrieved</w:t>
      </w:r>
      <w:proofErr w:type="spellEnd"/>
      <w:r w:rsidRPr="00FC0751">
        <w:rPr>
          <w:rFonts w:ascii="Arial" w:hAnsi="Arial" w:cs="Arial"/>
          <w:sz w:val="16"/>
          <w:szCs w:val="16"/>
        </w:rPr>
        <w:t xml:space="preserve"> from http://educmath.ens-lyon.fr/Educmath/ressources/lecture/note-lecture/ressources-vives</w:t>
      </w:r>
    </w:p>
    <w:sectPr w:rsidR="002412E7" w:rsidRPr="002412E7">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2E7"/>
    <w:rsid w:val="0022210D"/>
    <w:rsid w:val="002412E7"/>
    <w:rsid w:val="00331F2F"/>
    <w:rsid w:val="003722A9"/>
    <w:rsid w:val="00374863"/>
    <w:rsid w:val="005646B5"/>
    <w:rsid w:val="00801F07"/>
    <w:rsid w:val="008A5683"/>
    <w:rsid w:val="009C62E2"/>
    <w:rsid w:val="00A54BBE"/>
    <w:rsid w:val="00CC381C"/>
    <w:rsid w:val="00CF28E0"/>
    <w:rsid w:val="00EA4031"/>
    <w:rsid w:val="00F73620"/>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1D42F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412E7"/>
    <w:rPr>
      <w:color w:val="0000FF" w:themeColor="hyperlink"/>
      <w:u w:val="single"/>
    </w:rPr>
  </w:style>
  <w:style w:type="table" w:styleId="Grille">
    <w:name w:val="Table Grid"/>
    <w:basedOn w:val="TableauNormal"/>
    <w:uiPriority w:val="59"/>
    <w:rsid w:val="002221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2210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2210D"/>
    <w:rPr>
      <w:rFonts w:ascii="Lucida Grande" w:hAnsi="Lucida Grande" w:cs="Lucida Grande"/>
      <w:sz w:val="18"/>
      <w:szCs w:val="18"/>
    </w:rPr>
  </w:style>
  <w:style w:type="character" w:styleId="Lienhypertextesuivi">
    <w:name w:val="FollowedHyperlink"/>
    <w:basedOn w:val="Policepardfaut"/>
    <w:uiPriority w:val="99"/>
    <w:semiHidden/>
    <w:unhideWhenUsed/>
    <w:rsid w:val="0022210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412E7"/>
    <w:rPr>
      <w:color w:val="0000FF" w:themeColor="hyperlink"/>
      <w:u w:val="single"/>
    </w:rPr>
  </w:style>
  <w:style w:type="table" w:styleId="Grille">
    <w:name w:val="Table Grid"/>
    <w:basedOn w:val="TableauNormal"/>
    <w:uiPriority w:val="59"/>
    <w:rsid w:val="002221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2210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2210D"/>
    <w:rPr>
      <w:rFonts w:ascii="Lucida Grande" w:hAnsi="Lucida Grande" w:cs="Lucida Grande"/>
      <w:sz w:val="18"/>
      <w:szCs w:val="18"/>
    </w:rPr>
  </w:style>
  <w:style w:type="character" w:styleId="Lienhypertextesuivi">
    <w:name w:val="FollowedHyperlink"/>
    <w:basedOn w:val="Policepardfaut"/>
    <w:uiPriority w:val="99"/>
    <w:semiHidden/>
    <w:unhideWhenUsed/>
    <w:rsid w:val="002221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hyperlink" Target="mailto:luc.trouche@ens-lyon.fr" TargetMode="External"/><Relationship Id="rId12" Type="http://schemas.openxmlformats.org/officeDocument/2006/relationships/hyperlink" Target="https://problemata.hypotheses.org/" TargetMode="External"/><Relationship Id="rId13" Type="http://schemas.openxmlformats.org/officeDocument/2006/relationships/hyperlink" Target="http://www.sphere.univ-paris-diderot.fr/spip.php?article1957&amp;lang=fr%20target=" TargetMode="External"/><Relationship Id="rId14" Type="http://schemas.openxmlformats.org/officeDocument/2006/relationships/hyperlink" Target="https://sites.google.com/view/variations-and-series/home" TargetMode="External"/><Relationship Id="rId15" Type="http://schemas.openxmlformats.org/officeDocument/2006/relationships/hyperlink" Target="http://www.sphere.univ-paris-diderot.fr/spip.php?article1238&amp;lang=en" TargetMode="External"/><Relationship Id="rId16" Type="http://schemas.openxmlformats.org/officeDocument/2006/relationships/hyperlink" Target="http://eductice.ens-lyon.fr/EducTice/equipe/membres/doctorants/luxizi_zhang" TargetMode="External"/><Relationship Id="rId17" Type="http://schemas.openxmlformats.org/officeDocument/2006/relationships/hyperlink" Target="http://www.math.elte.hu/en/people/?uid=XDSAN5" TargetMode="External"/><Relationship Id="rId18" Type="http://schemas.openxmlformats.org/officeDocument/2006/relationships/hyperlink" Target="https://www.shs-conferences.org/articles/shsconf/abs/2015/09/contents/contents.html" TargetMode="External"/><Relationship Id="rId19" Type="http://schemas.openxmlformats.org/officeDocument/2006/relationships/hyperlink" Target="https://keynote.conference-services.net/resources/444/5118/pdf/CERME10_0594.pdf"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986</Words>
  <Characters>5428</Characters>
  <Application>Microsoft Macintosh Word</Application>
  <DocSecurity>0</DocSecurity>
  <Lines>45</Lines>
  <Paragraphs>12</Paragraphs>
  <ScaleCrop>false</ScaleCrop>
  <Company>ENS de Lyon</Company>
  <LinksUpToDate>false</LinksUpToDate>
  <CharactersWithSpaces>6402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Trouche</dc:creator>
  <cp:keywords/>
  <dc:description/>
  <cp:lastModifiedBy>Luc Trouche</cp:lastModifiedBy>
  <cp:revision>4</cp:revision>
  <dcterms:created xsi:type="dcterms:W3CDTF">2019-01-02T15:21:00Z</dcterms:created>
  <dcterms:modified xsi:type="dcterms:W3CDTF">2019-01-03T06:14:00Z</dcterms:modified>
</cp:coreProperties>
</file>