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26D73CA1" w:rsidR="00E502ED" w:rsidRDefault="00FF3505" w:rsidP="001A2F47">
      <w:pPr>
        <w:spacing w:after="200" w:line="240" w:lineRule="auto"/>
        <w:rPr>
          <w:b/>
          <w:smallCaps/>
        </w:rPr>
      </w:pPr>
      <w:r w:rsidRPr="00FF3505">
        <w:rPr>
          <w:b/>
          <w:smallCaps/>
          <w:noProof/>
        </w:rPr>
        <mc:AlternateContent>
          <mc:Choice Requires="wps">
            <w:drawing>
              <wp:anchor distT="45720" distB="45720" distL="114300" distR="114300" simplePos="0" relativeHeight="251659264" behindDoc="0" locked="0" layoutInCell="1" allowOverlap="1" wp14:anchorId="5E12EDF4" wp14:editId="231C783B">
                <wp:simplePos x="0" y="0"/>
                <wp:positionH relativeFrom="column">
                  <wp:posOffset>528955</wp:posOffset>
                </wp:positionH>
                <wp:positionV relativeFrom="paragraph">
                  <wp:posOffset>52705</wp:posOffset>
                </wp:positionV>
                <wp:extent cx="4495800" cy="102870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028700"/>
                        </a:xfrm>
                        <a:prstGeom prst="rect">
                          <a:avLst/>
                        </a:prstGeom>
                        <a:solidFill>
                          <a:srgbClr val="FFFFFF"/>
                        </a:solidFill>
                        <a:ln w="9525">
                          <a:solidFill>
                            <a:srgbClr val="000000"/>
                          </a:solidFill>
                          <a:miter lim="800000"/>
                          <a:headEnd/>
                          <a:tailEnd/>
                        </a:ln>
                      </wps:spPr>
                      <wps:txbx>
                        <w:txbxContent>
                          <w:p w14:paraId="46B9BF26" w14:textId="217AC02E" w:rsidR="00FF3505" w:rsidRDefault="00FF3505" w:rsidP="00FF3505">
                            <w:pPr>
                              <w:jc w:val="center"/>
                            </w:pPr>
                            <w:r>
                              <w:rPr>
                                <w:noProof/>
                              </w:rPr>
                              <w:drawing>
                                <wp:inline distT="0" distB="0" distL="0" distR="0" wp14:anchorId="6D8C12DF" wp14:editId="0CE208D6">
                                  <wp:extent cx="4113170" cy="933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organisation_1 (1).png"/>
                                          <pic:cNvPicPr/>
                                        </pic:nvPicPr>
                                        <pic:blipFill>
                                          <a:blip r:embed="rId6">
                                            <a:extLst>
                                              <a:ext uri="{28A0092B-C50C-407E-A947-70E740481C1C}">
                                                <a14:useLocalDpi xmlns:a14="http://schemas.microsoft.com/office/drawing/2010/main" val="0"/>
                                              </a:ext>
                                            </a:extLst>
                                          </a:blip>
                                          <a:stretch>
                                            <a:fillRect/>
                                          </a:stretch>
                                        </pic:blipFill>
                                        <pic:spPr>
                                          <a:xfrm>
                                            <a:off x="0" y="0"/>
                                            <a:ext cx="4124886" cy="93610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2EDF4" id="_x0000_t202" coordsize="21600,21600" o:spt="202" path="m,l,21600r21600,l21600,xe">
                <v:stroke joinstyle="miter"/>
                <v:path gradientshapeok="t" o:connecttype="rect"/>
              </v:shapetype>
              <v:shape id="Zone de texte 2" o:spid="_x0000_s1026" type="#_x0000_t202" style="position:absolute;margin-left:41.65pt;margin-top:4.15pt;width:354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">
                <v:textbox>
                  <w:txbxContent>
                    <w:p w14:paraId="46B9BF26" w14:textId="217AC02E" w:rsidR="00FF3505" w:rsidRDefault="00FF3505" w:rsidP="00FF3505">
                      <w:pPr>
                        <w:jc w:val="center"/>
                      </w:pPr>
                      <w:r>
                        <w:rPr>
                          <w:noProof/>
                        </w:rPr>
                        <w:drawing>
                          <wp:inline distT="0" distB="0" distL="0" distR="0" wp14:anchorId="6D8C12DF" wp14:editId="0CE208D6">
                            <wp:extent cx="4113170" cy="933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organisation_1 (1).png"/>
                                    <pic:cNvPicPr/>
                                  </pic:nvPicPr>
                                  <pic:blipFill>
                                    <a:blip r:embed="rId6">
                                      <a:extLst>
                                        <a:ext uri="{28A0092B-C50C-407E-A947-70E740481C1C}">
                                          <a14:useLocalDpi xmlns:a14="http://schemas.microsoft.com/office/drawing/2010/main" val="0"/>
                                        </a:ext>
                                      </a:extLst>
                                    </a:blip>
                                    <a:stretch>
                                      <a:fillRect/>
                                    </a:stretch>
                                  </pic:blipFill>
                                  <pic:spPr>
                                    <a:xfrm>
                                      <a:off x="0" y="0"/>
                                      <a:ext cx="4124886" cy="936109"/>
                                    </a:xfrm>
                                    <a:prstGeom prst="rect">
                                      <a:avLst/>
                                    </a:prstGeom>
                                  </pic:spPr>
                                </pic:pic>
                              </a:graphicData>
                            </a:graphic>
                          </wp:inline>
                        </w:drawing>
                      </w:r>
                    </w:p>
                  </w:txbxContent>
                </v:textbox>
                <w10:wrap type="square"/>
              </v:shape>
            </w:pict>
          </mc:Fallback>
        </mc:AlternateContent>
      </w:r>
    </w:p>
    <w:p w14:paraId="288D2CB9" w14:textId="77777777" w:rsidR="00FF3505" w:rsidRDefault="00FF3505">
      <w:pPr>
        <w:spacing w:after="200" w:line="240" w:lineRule="auto"/>
        <w:jc w:val="center"/>
        <w:rPr>
          <w:b/>
          <w:smallCaps/>
        </w:rPr>
      </w:pPr>
    </w:p>
    <w:p w14:paraId="2E1E12EA" w14:textId="77777777" w:rsidR="00FF3505" w:rsidRDefault="00FF3505">
      <w:pPr>
        <w:spacing w:after="200" w:line="240" w:lineRule="auto"/>
        <w:jc w:val="center"/>
        <w:rPr>
          <w:b/>
          <w:smallCaps/>
        </w:rPr>
      </w:pPr>
    </w:p>
    <w:p w14:paraId="52C8626A" w14:textId="77777777" w:rsidR="00FF3505" w:rsidRDefault="00FF3505">
      <w:pPr>
        <w:spacing w:after="200" w:line="240" w:lineRule="auto"/>
        <w:jc w:val="center"/>
        <w:rPr>
          <w:b/>
          <w:smallCaps/>
        </w:rPr>
      </w:pPr>
    </w:p>
    <w:p w14:paraId="00000003" w14:textId="77777777" w:rsidR="00E502ED" w:rsidRDefault="001A2F47">
      <w:pPr>
        <w:spacing w:after="200" w:line="240" w:lineRule="auto"/>
        <w:jc w:val="center"/>
      </w:pPr>
      <w:r>
        <w:rPr>
          <w:b/>
          <w:smallCaps/>
        </w:rPr>
        <w:t xml:space="preserve"> </w:t>
      </w:r>
      <w:r>
        <w:rPr>
          <w:b/>
          <w:smallCaps/>
          <w:color w:val="000000"/>
        </w:rPr>
        <w:t> colloque </w:t>
      </w:r>
    </w:p>
    <w:p w14:paraId="00000004" w14:textId="77777777" w:rsidR="00E502ED" w:rsidRDefault="001A2F47">
      <w:pPr>
        <w:spacing w:after="200" w:line="240" w:lineRule="auto"/>
        <w:jc w:val="center"/>
        <w:rPr>
          <w:b/>
          <w:color w:val="000000"/>
          <w:sz w:val="28"/>
          <w:szCs w:val="28"/>
        </w:rPr>
      </w:pPr>
      <w:r>
        <w:rPr>
          <w:b/>
          <w:color w:val="000000"/>
          <w:sz w:val="28"/>
          <w:szCs w:val="28"/>
        </w:rPr>
        <w:t xml:space="preserve">Interactions langagières en classe et construction des savoirs </w:t>
      </w:r>
    </w:p>
    <w:p w14:paraId="00000005" w14:textId="77777777" w:rsidR="00E502ED" w:rsidRDefault="001A2F47">
      <w:pPr>
        <w:spacing w:after="200" w:line="240" w:lineRule="auto"/>
        <w:jc w:val="center"/>
        <w:rPr>
          <w:b/>
          <w:color w:val="000000"/>
          <w:sz w:val="28"/>
          <w:szCs w:val="28"/>
        </w:rPr>
      </w:pPr>
      <w:proofErr w:type="gramStart"/>
      <w:r>
        <w:rPr>
          <w:b/>
          <w:color w:val="000000"/>
          <w:sz w:val="28"/>
          <w:szCs w:val="28"/>
        </w:rPr>
        <w:t>dans</w:t>
      </w:r>
      <w:proofErr w:type="gramEnd"/>
      <w:r>
        <w:rPr>
          <w:b/>
          <w:color w:val="000000"/>
          <w:sz w:val="28"/>
          <w:szCs w:val="28"/>
        </w:rPr>
        <w:t xml:space="preserve"> les disciplines scolaires </w:t>
      </w:r>
    </w:p>
    <w:p w14:paraId="770FE07F" w14:textId="77777777" w:rsidR="001A2F47" w:rsidRDefault="001A2F47" w:rsidP="001A2F47">
      <w:pPr>
        <w:spacing w:after="120" w:line="240" w:lineRule="auto"/>
        <w:jc w:val="center"/>
        <w:rPr>
          <w:b/>
          <w:color w:val="000000"/>
          <w:sz w:val="28"/>
          <w:szCs w:val="28"/>
        </w:rPr>
      </w:pPr>
      <w:bookmarkStart w:id="0" w:name="_GoBack"/>
      <w:bookmarkEnd w:id="0"/>
    </w:p>
    <w:p w14:paraId="00000006" w14:textId="77777777" w:rsidR="00E502ED" w:rsidRDefault="001A2F47">
      <w:pPr>
        <w:spacing w:after="0" w:line="240" w:lineRule="auto"/>
        <w:jc w:val="center"/>
      </w:pPr>
      <w:r>
        <w:t>Université de Lille, 6 et 7 octobre 2022</w:t>
      </w:r>
    </w:p>
    <w:p w14:paraId="11272C32" w14:textId="77777777" w:rsidR="001A2F47" w:rsidRDefault="001A2F47">
      <w:pPr>
        <w:spacing w:after="0" w:line="240" w:lineRule="auto"/>
        <w:jc w:val="center"/>
      </w:pPr>
    </w:p>
    <w:p w14:paraId="00000007" w14:textId="77777777" w:rsidR="00E502ED" w:rsidRDefault="00E502ED">
      <w:pPr>
        <w:spacing w:after="0" w:line="240" w:lineRule="auto"/>
        <w:jc w:val="center"/>
      </w:pPr>
    </w:p>
    <w:p w14:paraId="00000008" w14:textId="77777777" w:rsidR="00E502ED" w:rsidRDefault="001A2F47">
      <w:pPr>
        <w:spacing w:after="0" w:line="240" w:lineRule="auto"/>
        <w:jc w:val="center"/>
      </w:pPr>
      <w:r>
        <w:t>UMR 8163 STL - ULR 4354 CIREL</w:t>
      </w:r>
    </w:p>
    <w:p w14:paraId="00000009" w14:textId="77777777" w:rsidR="00E502ED" w:rsidRDefault="001A2F47">
      <w:pPr>
        <w:spacing w:before="240" w:after="240" w:line="240" w:lineRule="auto"/>
        <w:jc w:val="both"/>
      </w:pPr>
      <w:r>
        <w:rPr>
          <w:color w:val="000000"/>
        </w:rPr>
        <w:t>Depuis le début des années 2000, des données issues de la recherche ont montré la place fondamentale de la langue dans la construction des savoirs scolaires, quelles que soient les disciplines concernées (</w:t>
      </w:r>
      <w:proofErr w:type="spellStart"/>
      <w:r>
        <w:rPr>
          <w:color w:val="000000"/>
        </w:rPr>
        <w:t>Babault</w:t>
      </w:r>
      <w:proofErr w:type="spellEnd"/>
      <w:r>
        <w:rPr>
          <w:color w:val="000000"/>
        </w:rPr>
        <w:t>, 2015 ; Bigot et al., 2017 ; Gajo, 2007 ; G</w:t>
      </w:r>
      <w:r>
        <w:rPr>
          <w:color w:val="000000"/>
        </w:rPr>
        <w:t>arcia-</w:t>
      </w:r>
      <w:proofErr w:type="spellStart"/>
      <w:r>
        <w:rPr>
          <w:color w:val="000000"/>
        </w:rPr>
        <w:t>Debanc</w:t>
      </w:r>
      <w:proofErr w:type="spellEnd"/>
      <w:r>
        <w:rPr>
          <w:color w:val="000000"/>
        </w:rPr>
        <w:t xml:space="preserve"> et al</w:t>
      </w:r>
      <w:r>
        <w:t xml:space="preserve">., 2009 ; </w:t>
      </w:r>
      <w:r>
        <w:rPr>
          <w:color w:val="000000"/>
        </w:rPr>
        <w:t>Jaubert, 2007 ; Hache, 20</w:t>
      </w:r>
      <w:r>
        <w:t>1</w:t>
      </w:r>
      <w:r>
        <w:rPr>
          <w:color w:val="000000"/>
        </w:rPr>
        <w:t xml:space="preserve">9;  </w:t>
      </w:r>
      <w:proofErr w:type="spellStart"/>
      <w:r>
        <w:rPr>
          <w:color w:val="000000"/>
        </w:rPr>
        <w:t>Schneeberger</w:t>
      </w:r>
      <w:proofErr w:type="spellEnd"/>
      <w:r>
        <w:rPr>
          <w:color w:val="000000"/>
        </w:rPr>
        <w:t xml:space="preserve"> &amp; Vérin, 2009; </w:t>
      </w:r>
      <w:proofErr w:type="spellStart"/>
      <w:r>
        <w:rPr>
          <w:color w:val="000000"/>
        </w:rPr>
        <w:t>Volteau</w:t>
      </w:r>
      <w:proofErr w:type="spellEnd"/>
      <w:r>
        <w:rPr>
          <w:color w:val="000000"/>
        </w:rPr>
        <w:t xml:space="preserve"> &amp; Rançon, 2015) alors que, paradoxalement, les enseignants ne sont généralement pas formés à la prise en compte des aspects langagiers de la didactique de leur di</w:t>
      </w:r>
      <w:r>
        <w:rPr>
          <w:color w:val="000000"/>
        </w:rPr>
        <w:t>scipline (</w:t>
      </w:r>
      <w:proofErr w:type="spellStart"/>
      <w:r>
        <w:rPr>
          <w:color w:val="000000"/>
        </w:rPr>
        <w:t>Babault</w:t>
      </w:r>
      <w:proofErr w:type="spellEnd"/>
      <w:r>
        <w:rPr>
          <w:color w:val="000000"/>
        </w:rPr>
        <w:t xml:space="preserve">, 2018). Parallèlement, d’autres recherches ont montré qu’une proportion importante du public scolaire est fragilisée par une maîtrise insuffisante des fondamentaux de la langue de l’école, qu’il s’agisse d’élèves migrants </w:t>
      </w:r>
      <w:r>
        <w:t>ou d’élèves ayan</w:t>
      </w:r>
      <w:r>
        <w:t xml:space="preserve">t la langue de l’école comme langue première </w:t>
      </w:r>
      <w:r>
        <w:rPr>
          <w:color w:val="000000"/>
        </w:rPr>
        <w:t xml:space="preserve">(Klein, 2012; </w:t>
      </w:r>
      <w:proofErr w:type="spellStart"/>
      <w:r>
        <w:t>Mendonça</w:t>
      </w:r>
      <w:proofErr w:type="spellEnd"/>
      <w:r>
        <w:t xml:space="preserve"> Dias &amp; Millon Faure, 2018).</w:t>
      </w:r>
    </w:p>
    <w:p w14:paraId="0000000A" w14:textId="77777777" w:rsidR="00E502ED" w:rsidRDefault="001A2F47">
      <w:pPr>
        <w:spacing w:before="240" w:after="240" w:line="240" w:lineRule="auto"/>
        <w:jc w:val="both"/>
      </w:pPr>
      <w:r>
        <w:rPr>
          <w:color w:val="000000"/>
        </w:rPr>
        <w:t xml:space="preserve">Ces diverses recherches soulignent bien la nécessité de mener une réflexion sur la </w:t>
      </w:r>
      <w:r>
        <w:t xml:space="preserve">part </w:t>
      </w:r>
      <w:r>
        <w:rPr>
          <w:color w:val="000000"/>
        </w:rPr>
        <w:t>langagière de la construction d</w:t>
      </w:r>
      <w:r>
        <w:t>es</w:t>
      </w:r>
      <w:r>
        <w:rPr>
          <w:color w:val="000000"/>
        </w:rPr>
        <w:t xml:space="preserve"> savoirs </w:t>
      </w:r>
      <w:r>
        <w:t>scolaires</w:t>
      </w:r>
      <w:r>
        <w:rPr>
          <w:color w:val="000000"/>
        </w:rPr>
        <w:t xml:space="preserve">.  Au sein de </w:t>
      </w:r>
      <w:r>
        <w:t>l’</w:t>
      </w:r>
      <w:r>
        <w:rPr>
          <w:color w:val="000000"/>
        </w:rPr>
        <w:t>ensem</w:t>
      </w:r>
      <w:r>
        <w:rPr>
          <w:color w:val="000000"/>
        </w:rPr>
        <w:t>ble langagier, les interactions de classe</w:t>
      </w:r>
      <w:r>
        <w:t xml:space="preserve"> jouent un rôle incontournable dans la</w:t>
      </w:r>
      <w:r>
        <w:rPr>
          <w:color w:val="000000"/>
        </w:rPr>
        <w:t xml:space="preserve"> conceptualisation des savoirs chez les apprenants (</w:t>
      </w:r>
      <w:proofErr w:type="spellStart"/>
      <w:r>
        <w:t>Filliettaz</w:t>
      </w:r>
      <w:proofErr w:type="spellEnd"/>
      <w:r>
        <w:t xml:space="preserve"> &amp; </w:t>
      </w:r>
      <w:proofErr w:type="spellStart"/>
      <w:r>
        <w:t>Schubauer</w:t>
      </w:r>
      <w:proofErr w:type="spellEnd"/>
      <w:r>
        <w:t xml:space="preserve">-Leoni, 2008; </w:t>
      </w:r>
      <w:proofErr w:type="spellStart"/>
      <w:r>
        <w:rPr>
          <w:color w:val="000000"/>
        </w:rPr>
        <w:t>Munford</w:t>
      </w:r>
      <w:proofErr w:type="spellEnd"/>
      <w:r>
        <w:rPr>
          <w:color w:val="000000"/>
        </w:rPr>
        <w:t xml:space="preserve"> &amp; </w:t>
      </w:r>
      <w:proofErr w:type="spellStart"/>
      <w:r>
        <w:rPr>
          <w:color w:val="000000"/>
        </w:rPr>
        <w:t>Z</w:t>
      </w:r>
      <w:r>
        <w:t>em</w:t>
      </w:r>
      <w:r>
        <w:rPr>
          <w:color w:val="000000"/>
        </w:rPr>
        <w:t>bal</w:t>
      </w:r>
      <w:proofErr w:type="spellEnd"/>
      <w:r>
        <w:rPr>
          <w:color w:val="000000"/>
        </w:rPr>
        <w:t xml:space="preserve">-Saul, 2002; Rivière, 2012; Silveira &amp; </w:t>
      </w:r>
      <w:proofErr w:type="spellStart"/>
      <w:r>
        <w:rPr>
          <w:color w:val="000000"/>
        </w:rPr>
        <w:t>Munford</w:t>
      </w:r>
      <w:proofErr w:type="spellEnd"/>
      <w:r>
        <w:rPr>
          <w:color w:val="000000"/>
        </w:rPr>
        <w:t xml:space="preserve">, 2020; </w:t>
      </w:r>
      <w:proofErr w:type="spellStart"/>
      <w:r>
        <w:rPr>
          <w:color w:val="000000"/>
        </w:rPr>
        <w:t>Skovholt</w:t>
      </w:r>
      <w:proofErr w:type="spellEnd"/>
      <w:r>
        <w:rPr>
          <w:color w:val="000000"/>
        </w:rPr>
        <w:t>, 2017</w:t>
      </w:r>
      <w:r>
        <w:t>). Ce</w:t>
      </w:r>
      <w:r>
        <w:t>pendant, les interactions de classe dans des disciplines autres que les langues restent encore insuffisamment explorées, probablement en raison de leur positionnement à l’intersection de plusieurs champs de recherche.</w:t>
      </w:r>
      <w:r>
        <w:rPr>
          <w:color w:val="000000"/>
        </w:rPr>
        <w:t xml:space="preserve"> Ainsi, de nombreuses questions </w:t>
      </w:r>
      <w:r>
        <w:t>demande</w:t>
      </w:r>
      <w:r>
        <w:t xml:space="preserve">nt à ce jour à être approfondies. Comment les interactions de classe constituent-elles des appuis pour la construction des savoirs ? Quel rôle le discours enseignant joue-t-il dans ces interactions ? Les interactions de classe sont-elles caractérisées par </w:t>
      </w:r>
      <w:r>
        <w:t xml:space="preserve">des spécificités propres à chaque matière ? Comment des élèves aux profils très diversifiés peuvent-ils tous tirer des bénéfices de ces interactions ? </w:t>
      </w:r>
    </w:p>
    <w:p w14:paraId="0000000B" w14:textId="77777777" w:rsidR="00E502ED" w:rsidRDefault="001A2F47">
      <w:pPr>
        <w:spacing w:before="240" w:after="240" w:line="240" w:lineRule="auto"/>
        <w:jc w:val="both"/>
      </w:pPr>
      <w:r>
        <w:t>Par ailleurs, après deux ans d’adaptation des classes aux conditions imposées par le COVID, ces question</w:t>
      </w:r>
      <w:r>
        <w:t>s s’appliquent également à des situations d’interactions de classe à distance. Pour répondre à des contraintes médicales, de temps, de lieu ou encore de contexte sanitaire, l’enseignement à distance tend à offrir aux enseignants des moyens de développer le</w:t>
      </w:r>
      <w:r>
        <w:t>ur présence à distance (</w:t>
      </w:r>
      <w:proofErr w:type="spellStart"/>
      <w:r>
        <w:t>Jézégou</w:t>
      </w:r>
      <w:proofErr w:type="spellEnd"/>
      <w:r>
        <w:t>, 2010) et ainsi d’entretenir les interactions sociales et pédagogiques avec leurs apprenants. Pour autant, « apprivoiser la distance » (Jacquinot, 1993) pour parvenir à des échanges fructueux au service des apprentissages n’</w:t>
      </w:r>
      <w:r>
        <w:t>est pas chose aisée en raison de multiples contraintes. La distance modifie, voire limite, les activités communicatives non verbales (</w:t>
      </w:r>
      <w:proofErr w:type="spellStart"/>
      <w:r>
        <w:t>Develotte</w:t>
      </w:r>
      <w:proofErr w:type="spellEnd"/>
      <w:r>
        <w:t xml:space="preserve"> et </w:t>
      </w:r>
      <w:proofErr w:type="gramStart"/>
      <w:r>
        <w:t>al.,</w:t>
      </w:r>
      <w:proofErr w:type="gramEnd"/>
      <w:r>
        <w:t xml:space="preserve"> 2011) ou encore la collaboration entre les apprenants (</w:t>
      </w:r>
      <w:proofErr w:type="spellStart"/>
      <w:r>
        <w:t>Crinon</w:t>
      </w:r>
      <w:proofErr w:type="spellEnd"/>
      <w:r>
        <w:t xml:space="preserve"> et al., 2003; </w:t>
      </w:r>
      <w:proofErr w:type="spellStart"/>
      <w:r>
        <w:t>Connac</w:t>
      </w:r>
      <w:proofErr w:type="spellEnd"/>
      <w:r>
        <w:t>, 2017) au point d’acc</w:t>
      </w:r>
      <w:r>
        <w:t xml:space="preserve">roître selon les contextes le degré d’hétérogénéité entre les élèves. </w:t>
      </w:r>
    </w:p>
    <w:p w14:paraId="0000000C" w14:textId="77777777" w:rsidR="00E502ED" w:rsidRDefault="001A2F47">
      <w:pPr>
        <w:spacing w:before="240" w:after="240" w:line="240" w:lineRule="auto"/>
        <w:jc w:val="both"/>
      </w:pPr>
      <w:r>
        <w:lastRenderedPageBreak/>
        <w:t>Les réponses à apporter à ces questions passent nécessairement par un éclairage pluri- et interdisciplinaire grâce auquel linguistes interactionnistes, spécialistes d’analyse du discour</w:t>
      </w:r>
      <w:r>
        <w:t>s, chercheurs en sciences de l’éducation et didacticiens de toutes disciplines (mathématiques, histoire-géographie, sciences, etc.) seront amenés à apporter un regard croisé sur les interactions de classe en confrontant leurs outils conceptuels et méthodol</w:t>
      </w:r>
      <w:r>
        <w:t xml:space="preserve">ogiques. </w:t>
      </w:r>
    </w:p>
    <w:p w14:paraId="0000000D" w14:textId="77777777" w:rsidR="00E502ED" w:rsidRDefault="001A2F47">
      <w:pPr>
        <w:spacing w:before="240" w:after="240" w:line="240" w:lineRule="auto"/>
        <w:jc w:val="both"/>
      </w:pPr>
      <w:r>
        <w:t>Durant ce colloque, les communications issues de travaux pluridisciplinaires seront les bienvenues. Les communications pourront également s’inscrire dans un champ disciplinaire spécifique, tout en ouvrant la discussion à des échanges croisés.</w:t>
      </w:r>
    </w:p>
    <w:p w14:paraId="0000000E" w14:textId="77777777" w:rsidR="00E502ED" w:rsidRDefault="001A2F47">
      <w:pPr>
        <w:spacing w:before="240" w:after="240" w:line="240" w:lineRule="auto"/>
        <w:jc w:val="both"/>
      </w:pPr>
      <w:r>
        <w:t>Les</w:t>
      </w:r>
      <w:r>
        <w:t xml:space="preserve"> propositions de communications pourront s’inscrire dans l’un des axes suivants: </w:t>
      </w:r>
    </w:p>
    <w:p w14:paraId="0000000F" w14:textId="77777777" w:rsidR="00E502ED" w:rsidRDefault="001A2F47">
      <w:pPr>
        <w:numPr>
          <w:ilvl w:val="0"/>
          <w:numId w:val="2"/>
        </w:numPr>
        <w:spacing w:before="240" w:after="240" w:line="240" w:lineRule="auto"/>
        <w:jc w:val="both"/>
      </w:pPr>
      <w:r>
        <w:t>axe 1: interactions en classe et hétérogénéité des élèves</w:t>
      </w:r>
    </w:p>
    <w:p w14:paraId="00000010" w14:textId="77777777" w:rsidR="00E502ED" w:rsidRDefault="001A2F47">
      <w:pPr>
        <w:spacing w:before="240" w:after="240" w:line="240" w:lineRule="auto"/>
        <w:jc w:val="both"/>
      </w:pPr>
      <w:r>
        <w:t>Cet axe vise une mise en relief de la diversité des profils des élèves telle qu’elle entre en jeu dans les interacti</w:t>
      </w:r>
      <w:r>
        <w:t>ons de classe,  que ce soit sur le plan des formes variables d’implication des élèves dans ces interactions (</w:t>
      </w:r>
      <w:proofErr w:type="spellStart"/>
      <w:r>
        <w:t>Havik</w:t>
      </w:r>
      <w:proofErr w:type="spellEnd"/>
      <w:r>
        <w:t xml:space="preserve"> et </w:t>
      </w:r>
      <w:proofErr w:type="spellStart"/>
      <w:r>
        <w:t>Westergård</w:t>
      </w:r>
      <w:proofErr w:type="spellEnd"/>
      <w:r>
        <w:t>, 2019) ou sur celui de la prise en compte des “difficultés socialement différenciées” (</w:t>
      </w:r>
      <w:proofErr w:type="spellStart"/>
      <w:r>
        <w:t>Bautier</w:t>
      </w:r>
      <w:proofErr w:type="spellEnd"/>
      <w:r>
        <w:t>, 2006). Sont également considéré</w:t>
      </w:r>
      <w:r>
        <w:t>es toutes les formes de constructions collectives discursives et conceptuelles émergeant dans les interactions de classe.</w:t>
      </w:r>
    </w:p>
    <w:p w14:paraId="00000011" w14:textId="77777777" w:rsidR="00E502ED" w:rsidRDefault="001A2F47">
      <w:pPr>
        <w:numPr>
          <w:ilvl w:val="0"/>
          <w:numId w:val="2"/>
        </w:numPr>
        <w:spacing w:before="240" w:after="240" w:line="240" w:lineRule="auto"/>
        <w:jc w:val="both"/>
      </w:pPr>
      <w:r>
        <w:t>axe 2</w:t>
      </w:r>
      <w:proofErr w:type="gramStart"/>
      <w:r>
        <w:t>:  l’enseignant</w:t>
      </w:r>
      <w:proofErr w:type="gramEnd"/>
      <w:r>
        <w:t xml:space="preserve"> dans les interactions de classe</w:t>
      </w:r>
    </w:p>
    <w:p w14:paraId="00000012" w14:textId="77777777" w:rsidR="00E502ED" w:rsidRDefault="001A2F47">
      <w:pPr>
        <w:spacing w:before="240" w:after="0" w:line="240" w:lineRule="auto"/>
        <w:jc w:val="both"/>
      </w:pPr>
      <w:r>
        <w:t xml:space="preserve"> Il s’agira dans cet axe d’apporter des éclairages sur la dimension enseignante e</w:t>
      </w:r>
      <w:r>
        <w:t xml:space="preserve">n proposant des résultats de recherches de terrain (corpus d’interactions). Nous nous intéressons à différentes dimensions : </w:t>
      </w:r>
    </w:p>
    <w:p w14:paraId="00000013" w14:textId="77777777" w:rsidR="00E502ED" w:rsidRDefault="001A2F47">
      <w:pPr>
        <w:numPr>
          <w:ilvl w:val="0"/>
          <w:numId w:val="3"/>
        </w:numPr>
        <w:spacing w:after="0" w:line="240" w:lineRule="auto"/>
        <w:jc w:val="both"/>
      </w:pPr>
      <w:r>
        <w:t xml:space="preserve">le discours de l’enseignant : est-ce que les interactions de classe modifient le discours </w:t>
      </w:r>
      <w:proofErr w:type="gramStart"/>
      <w:r>
        <w:t>enseignant  ?</w:t>
      </w:r>
      <w:proofErr w:type="gramEnd"/>
      <w:r>
        <w:t xml:space="preserve"> Quel travail sur la reform</w:t>
      </w:r>
      <w:r>
        <w:t>ulation ?</w:t>
      </w:r>
    </w:p>
    <w:p w14:paraId="00000014" w14:textId="77777777" w:rsidR="00E502ED" w:rsidRDefault="001A2F47">
      <w:pPr>
        <w:numPr>
          <w:ilvl w:val="0"/>
          <w:numId w:val="3"/>
        </w:numPr>
        <w:spacing w:after="0" w:line="240" w:lineRule="auto"/>
        <w:jc w:val="both"/>
      </w:pPr>
      <w:r>
        <w:t>la pensée enseignante durant l’interaction (</w:t>
      </w:r>
      <w:r>
        <w:rPr>
          <w:i/>
        </w:rPr>
        <w:t xml:space="preserve">Teacher </w:t>
      </w:r>
      <w:proofErr w:type="spellStart"/>
      <w:r>
        <w:rPr>
          <w:i/>
        </w:rPr>
        <w:t>thinking</w:t>
      </w:r>
      <w:proofErr w:type="spellEnd"/>
      <w:r>
        <w:rPr>
          <w:i/>
        </w:rPr>
        <w:t xml:space="preserve"> </w:t>
      </w:r>
      <w:r>
        <w:t>(Borg, 2003)</w:t>
      </w:r>
      <w:r>
        <w:rPr>
          <w:i/>
        </w:rPr>
        <w:t>)</w:t>
      </w:r>
      <w:r>
        <w:t xml:space="preserve"> : quels éléments influencent la “pensée interactive” ? </w:t>
      </w:r>
    </w:p>
    <w:p w14:paraId="00000015" w14:textId="77777777" w:rsidR="00E502ED" w:rsidRDefault="001A2F47">
      <w:pPr>
        <w:numPr>
          <w:ilvl w:val="0"/>
          <w:numId w:val="3"/>
        </w:numPr>
        <w:spacing w:after="240" w:line="240" w:lineRule="auto"/>
        <w:jc w:val="both"/>
      </w:pPr>
      <w:r>
        <w:t xml:space="preserve">la formation enseignante </w:t>
      </w:r>
      <w:proofErr w:type="gramStart"/>
      <w:r>
        <w:t>:  quelle</w:t>
      </w:r>
      <w:proofErr w:type="gramEnd"/>
      <w:r>
        <w:t xml:space="preserve"> formation à la gestion des interactions ? Comment former à interagir / gérer les interactions ? Quels outils pour former ? (Zhang Waring &amp; </w:t>
      </w:r>
      <w:proofErr w:type="spellStart"/>
      <w:r>
        <w:t>Chepkirui</w:t>
      </w:r>
      <w:proofErr w:type="spellEnd"/>
      <w:r>
        <w:t xml:space="preserve"> </w:t>
      </w:r>
      <w:proofErr w:type="spellStart"/>
      <w:r>
        <w:t>Creider</w:t>
      </w:r>
      <w:proofErr w:type="spellEnd"/>
      <w:r>
        <w:t>, 2021)</w:t>
      </w:r>
    </w:p>
    <w:p w14:paraId="00000016" w14:textId="77777777" w:rsidR="00E502ED" w:rsidRDefault="001A2F47">
      <w:pPr>
        <w:numPr>
          <w:ilvl w:val="0"/>
          <w:numId w:val="2"/>
        </w:numPr>
        <w:spacing w:before="240" w:after="240" w:line="240" w:lineRule="auto"/>
        <w:jc w:val="both"/>
      </w:pPr>
      <w:r>
        <w:t>axe 3: interactions en classe à distance</w:t>
      </w:r>
    </w:p>
    <w:p w14:paraId="00000017" w14:textId="77777777" w:rsidR="00E502ED" w:rsidRDefault="001A2F47">
      <w:pPr>
        <w:spacing w:after="240" w:line="240" w:lineRule="auto"/>
        <w:jc w:val="both"/>
      </w:pPr>
      <w:r>
        <w:t>Cet axe permettr</w:t>
      </w:r>
      <w:r>
        <w:t>a d’interroger la place et les influences (positives ou non) des outils numériques sur les interactions entre enseignant-e-s et élèves, et entre élèves. Les classes virtuelles via les plateformes de visioconférences (</w:t>
      </w:r>
      <w:proofErr w:type="spellStart"/>
      <w:r>
        <w:t>Peraya</w:t>
      </w:r>
      <w:proofErr w:type="spellEnd"/>
      <w:r>
        <w:t xml:space="preserve"> &amp; Dumont, 2003) et les Environne</w:t>
      </w:r>
      <w:r>
        <w:t>ments Numériques de Travail (Genevois &amp; Poyet, 2010) ne sont que quelques exemples parmi les divers dispositifs à disposition des enseignant-e-s pour enseigner et interagir à distance. Les communications pourront également porter sur l’enseignement à dista</w:t>
      </w:r>
      <w:r>
        <w:t>nce en temps de pandémie et son influence sur la continuité ou non des dynamiques interactives observées dans les établissements (</w:t>
      </w:r>
      <w:proofErr w:type="spellStart"/>
      <w:r>
        <w:t>Ifé</w:t>
      </w:r>
      <w:proofErr w:type="spellEnd"/>
      <w:r>
        <w:t xml:space="preserve">, 2020 ; Caron et </w:t>
      </w:r>
      <w:proofErr w:type="gramStart"/>
      <w:r>
        <w:t>al.,</w:t>
      </w:r>
      <w:proofErr w:type="gramEnd"/>
      <w:r>
        <w:t xml:space="preserve"> 2020).</w:t>
      </w:r>
    </w:p>
    <w:p w14:paraId="00000018" w14:textId="77777777" w:rsidR="00E502ED" w:rsidRDefault="001A2F47">
      <w:pPr>
        <w:spacing w:before="240" w:after="240" w:line="240" w:lineRule="auto"/>
        <w:jc w:val="both"/>
      </w:pPr>
      <w:r>
        <w:t xml:space="preserve"> Les conférences plénières reflètent la pluridisciplinarité et l’interdisciplinarité qui cons</w:t>
      </w:r>
      <w:r>
        <w:t xml:space="preserve">tituent l’essence de ce colloque. Les conférenciers invités seront ainsi: </w:t>
      </w:r>
    </w:p>
    <w:p w14:paraId="00000019" w14:textId="77777777" w:rsidR="00E502ED" w:rsidRDefault="001A2F47">
      <w:pPr>
        <w:numPr>
          <w:ilvl w:val="0"/>
          <w:numId w:val="1"/>
        </w:numPr>
        <w:spacing w:before="240" w:after="0" w:line="240" w:lineRule="auto"/>
        <w:jc w:val="both"/>
      </w:pPr>
      <w:r>
        <w:t xml:space="preserve">Elisabeth </w:t>
      </w:r>
      <w:proofErr w:type="spellStart"/>
      <w:r>
        <w:t>Bautier</w:t>
      </w:r>
      <w:proofErr w:type="spellEnd"/>
      <w:r>
        <w:t>, Université Paris 8</w:t>
      </w:r>
    </w:p>
    <w:p w14:paraId="0000001A" w14:textId="77777777" w:rsidR="00E502ED" w:rsidRDefault="001A2F47">
      <w:pPr>
        <w:numPr>
          <w:ilvl w:val="0"/>
          <w:numId w:val="1"/>
        </w:numPr>
        <w:spacing w:after="0" w:line="240" w:lineRule="auto"/>
        <w:jc w:val="both"/>
      </w:pPr>
      <w:r>
        <w:t>Laurent Gajo, Université de Genève</w:t>
      </w:r>
    </w:p>
    <w:p w14:paraId="0000001B" w14:textId="77777777" w:rsidR="00E502ED" w:rsidRPr="00FF3505" w:rsidRDefault="001A2F47">
      <w:pPr>
        <w:numPr>
          <w:ilvl w:val="0"/>
          <w:numId w:val="1"/>
        </w:numPr>
        <w:spacing w:after="0" w:line="240" w:lineRule="auto"/>
        <w:jc w:val="both"/>
        <w:rPr>
          <w:lang w:val="en-US"/>
        </w:rPr>
      </w:pPr>
      <w:r w:rsidRPr="00FF3505">
        <w:rPr>
          <w:lang w:val="en-US"/>
        </w:rPr>
        <w:t xml:space="preserve">Karianne </w:t>
      </w:r>
      <w:proofErr w:type="spellStart"/>
      <w:r w:rsidRPr="00FF3505">
        <w:rPr>
          <w:lang w:val="en-US"/>
        </w:rPr>
        <w:t>Skovholt</w:t>
      </w:r>
      <w:proofErr w:type="spellEnd"/>
      <w:r w:rsidRPr="00FF3505">
        <w:rPr>
          <w:lang w:val="en-US"/>
        </w:rPr>
        <w:t xml:space="preserve">, </w:t>
      </w:r>
      <w:proofErr w:type="spellStart"/>
      <w:r w:rsidRPr="00FF3505">
        <w:rPr>
          <w:lang w:val="en-US"/>
        </w:rPr>
        <w:t>Universitetet</w:t>
      </w:r>
      <w:proofErr w:type="spellEnd"/>
      <w:r w:rsidRPr="00FF3505">
        <w:rPr>
          <w:lang w:val="en-US"/>
        </w:rPr>
        <w:t xml:space="preserve"> </w:t>
      </w:r>
      <w:proofErr w:type="spellStart"/>
      <w:r w:rsidRPr="00FF3505">
        <w:rPr>
          <w:lang w:val="en-US"/>
        </w:rPr>
        <w:t>i</w:t>
      </w:r>
      <w:proofErr w:type="spellEnd"/>
      <w:r w:rsidRPr="00FF3505">
        <w:rPr>
          <w:lang w:val="en-US"/>
        </w:rPr>
        <w:t xml:space="preserve"> </w:t>
      </w:r>
      <w:proofErr w:type="spellStart"/>
      <w:r w:rsidRPr="00FF3505">
        <w:rPr>
          <w:lang w:val="en-US"/>
        </w:rPr>
        <w:t>Sørøst</w:t>
      </w:r>
      <w:proofErr w:type="spellEnd"/>
      <w:r w:rsidRPr="00FF3505">
        <w:rPr>
          <w:lang w:val="en-US"/>
        </w:rPr>
        <w:t>-Norge</w:t>
      </w:r>
    </w:p>
    <w:p w14:paraId="0000001C" w14:textId="77777777" w:rsidR="00E502ED" w:rsidRDefault="001A2F47">
      <w:pPr>
        <w:numPr>
          <w:ilvl w:val="0"/>
          <w:numId w:val="1"/>
        </w:numPr>
        <w:spacing w:after="240" w:line="240" w:lineRule="auto"/>
        <w:jc w:val="both"/>
      </w:pPr>
      <w:r>
        <w:t xml:space="preserve">Annie </w:t>
      </w:r>
      <w:proofErr w:type="spellStart"/>
      <w:r>
        <w:t>Jézégou</w:t>
      </w:r>
      <w:proofErr w:type="spellEnd"/>
      <w:r>
        <w:t xml:space="preserve">, Université de Lille </w:t>
      </w:r>
    </w:p>
    <w:p w14:paraId="0000001D" w14:textId="77777777" w:rsidR="00E502ED" w:rsidRDefault="001A2F47">
      <w:pPr>
        <w:spacing w:before="240" w:after="240" w:line="240" w:lineRule="auto"/>
        <w:jc w:val="both"/>
        <w:rPr>
          <w:color w:val="000000"/>
        </w:rPr>
      </w:pPr>
      <w:r>
        <w:rPr>
          <w:color w:val="000000"/>
        </w:rPr>
        <w:t xml:space="preserve">Ce colloque donnera lieu à la publication d’un numéro spécial dans une revue scientifique. </w:t>
      </w:r>
    </w:p>
    <w:p w14:paraId="0000001E" w14:textId="77777777" w:rsidR="00E502ED" w:rsidRDefault="001A2F47">
      <w:pPr>
        <w:spacing w:before="240" w:after="240" w:line="240" w:lineRule="auto"/>
        <w:jc w:val="both"/>
        <w:rPr>
          <w:b/>
        </w:rPr>
      </w:pPr>
      <w:r>
        <w:rPr>
          <w:b/>
        </w:rPr>
        <w:lastRenderedPageBreak/>
        <w:t>Dates à retenir</w:t>
      </w:r>
    </w:p>
    <w:p w14:paraId="0000001F" w14:textId="77777777" w:rsidR="00E502ED" w:rsidRDefault="001A2F47">
      <w:pPr>
        <w:spacing w:before="240" w:after="240" w:line="240" w:lineRule="auto"/>
        <w:jc w:val="both"/>
      </w:pPr>
      <w:r>
        <w:t xml:space="preserve">10 mai 2022 : date limite de dépôt des propositions de communication  </w:t>
      </w:r>
    </w:p>
    <w:p w14:paraId="00000020" w14:textId="77777777" w:rsidR="00E502ED" w:rsidRDefault="001A2F47">
      <w:pPr>
        <w:spacing w:before="240" w:after="240" w:line="240" w:lineRule="auto"/>
        <w:jc w:val="both"/>
      </w:pPr>
      <w:r>
        <w:t>10 juin 2022: réponse du comité scientifique</w:t>
      </w:r>
    </w:p>
    <w:p w14:paraId="00000021" w14:textId="77777777" w:rsidR="00E502ED" w:rsidRDefault="001A2F47">
      <w:pPr>
        <w:spacing w:before="240" w:after="240" w:line="240" w:lineRule="auto"/>
        <w:jc w:val="both"/>
      </w:pPr>
      <w:r>
        <w:t>15 juin 2022: ouverture des insc</w:t>
      </w:r>
      <w:r>
        <w:t>riptions</w:t>
      </w:r>
    </w:p>
    <w:p w14:paraId="00000022" w14:textId="77777777" w:rsidR="00E502ED" w:rsidRDefault="001A2F47">
      <w:pPr>
        <w:spacing w:before="240" w:after="240" w:line="240" w:lineRule="auto"/>
        <w:jc w:val="both"/>
      </w:pPr>
      <w:r>
        <w:t>6 et 7 octobre 2022: colloque</w:t>
      </w:r>
    </w:p>
    <w:p w14:paraId="00000023" w14:textId="77777777" w:rsidR="00E502ED" w:rsidRDefault="00E502ED">
      <w:pPr>
        <w:spacing w:before="240" w:after="240" w:line="240" w:lineRule="auto"/>
        <w:jc w:val="both"/>
      </w:pPr>
    </w:p>
    <w:p w14:paraId="00000024" w14:textId="77777777" w:rsidR="00E502ED" w:rsidRDefault="001A2F47">
      <w:pPr>
        <w:spacing w:before="240" w:after="240" w:line="240" w:lineRule="auto"/>
        <w:jc w:val="both"/>
      </w:pPr>
      <w:r>
        <w:rPr>
          <w:b/>
        </w:rPr>
        <w:t>Langues du colloque</w:t>
      </w:r>
      <w:r>
        <w:t xml:space="preserve"> </w:t>
      </w:r>
    </w:p>
    <w:p w14:paraId="00000025" w14:textId="77777777" w:rsidR="00E502ED" w:rsidRDefault="001A2F47">
      <w:pPr>
        <w:spacing w:before="240" w:after="240" w:line="240" w:lineRule="auto"/>
        <w:jc w:val="both"/>
      </w:pPr>
      <w:proofErr w:type="gramStart"/>
      <w:r>
        <w:t>français</w:t>
      </w:r>
      <w:proofErr w:type="gramEnd"/>
      <w:r>
        <w:t xml:space="preserve"> et anglais</w:t>
      </w:r>
    </w:p>
    <w:p w14:paraId="00000026" w14:textId="77777777" w:rsidR="00E502ED" w:rsidRDefault="00E502ED">
      <w:pPr>
        <w:spacing w:before="240" w:after="240" w:line="240" w:lineRule="auto"/>
        <w:jc w:val="both"/>
      </w:pPr>
    </w:p>
    <w:p w14:paraId="00000027" w14:textId="77777777" w:rsidR="00E502ED" w:rsidRDefault="001A2F47">
      <w:pPr>
        <w:spacing w:before="240" w:after="240" w:line="240" w:lineRule="auto"/>
        <w:jc w:val="both"/>
        <w:rPr>
          <w:b/>
        </w:rPr>
      </w:pPr>
      <w:r>
        <w:rPr>
          <w:b/>
        </w:rPr>
        <w:t xml:space="preserve">Modalités </w:t>
      </w:r>
    </w:p>
    <w:p w14:paraId="00000028" w14:textId="77777777" w:rsidR="00E502ED" w:rsidRDefault="001A2F47">
      <w:pPr>
        <w:spacing w:before="240" w:after="240" w:line="240" w:lineRule="auto"/>
        <w:jc w:val="both"/>
      </w:pPr>
      <w:r>
        <w:t>Le colloque aura lieu en présentiel, sauf si les conditions sanitaires ne le permettent pas.</w:t>
      </w:r>
    </w:p>
    <w:p w14:paraId="00000029" w14:textId="77777777" w:rsidR="00E502ED" w:rsidRDefault="001A2F47">
      <w:pPr>
        <w:spacing w:before="240" w:after="240" w:line="240" w:lineRule="auto"/>
        <w:jc w:val="both"/>
      </w:pPr>
      <w:r>
        <w:t>Il sera constitué de conférences plénières (40 minutes de présentation + 20 minutes de discussion) et de communications (20 minutes de présentation + 10 minutes de discussion)</w:t>
      </w:r>
    </w:p>
    <w:p w14:paraId="0000002A" w14:textId="77777777" w:rsidR="00E502ED" w:rsidRDefault="00E502ED">
      <w:pPr>
        <w:spacing w:before="240" w:after="240" w:line="240" w:lineRule="auto"/>
        <w:jc w:val="both"/>
      </w:pPr>
    </w:p>
    <w:p w14:paraId="0000002B" w14:textId="77777777" w:rsidR="00E502ED" w:rsidRDefault="001A2F47">
      <w:pPr>
        <w:spacing w:before="240" w:after="240" w:line="240" w:lineRule="auto"/>
        <w:jc w:val="both"/>
        <w:rPr>
          <w:b/>
        </w:rPr>
      </w:pPr>
      <w:r>
        <w:rPr>
          <w:b/>
        </w:rPr>
        <w:t>Propositions de communications</w:t>
      </w:r>
    </w:p>
    <w:p w14:paraId="0000002C" w14:textId="77777777" w:rsidR="00E502ED" w:rsidRDefault="001A2F47">
      <w:pPr>
        <w:spacing w:before="240" w:after="240" w:line="240" w:lineRule="auto"/>
        <w:jc w:val="both"/>
      </w:pPr>
      <w:r>
        <w:t>Les propositions de  communications devront être</w:t>
      </w:r>
      <w:r>
        <w:t xml:space="preserve"> déposées sur le site du colloque au plus tard le 10 mai 2022. Elles devront faire au maximum 2500 caractères (espaces compris). Elles pourront être en français ou en anglais.</w:t>
      </w:r>
    </w:p>
    <w:p w14:paraId="0000002D" w14:textId="77777777" w:rsidR="00E502ED" w:rsidRDefault="00E502ED">
      <w:pPr>
        <w:spacing w:before="240" w:after="240" w:line="240" w:lineRule="auto"/>
        <w:jc w:val="both"/>
      </w:pPr>
    </w:p>
    <w:p w14:paraId="0000002E" w14:textId="77777777" w:rsidR="00E502ED" w:rsidRDefault="001A2F47">
      <w:pPr>
        <w:spacing w:before="240" w:after="240" w:line="240" w:lineRule="auto"/>
        <w:jc w:val="both"/>
      </w:pPr>
      <w:r>
        <w:rPr>
          <w:b/>
        </w:rPr>
        <w:t>Inscriptions</w:t>
      </w:r>
    </w:p>
    <w:p w14:paraId="0000002F" w14:textId="77777777" w:rsidR="00E502ED" w:rsidRDefault="001A2F47">
      <w:pPr>
        <w:spacing w:before="240" w:after="240" w:line="240" w:lineRule="auto"/>
        <w:jc w:val="both"/>
      </w:pPr>
      <w:r>
        <w:t>Montant des inscriptions: 70 euros (comprenant le déjeuner du jeud</w:t>
      </w:r>
      <w:r>
        <w:t>i et du vendredi)</w:t>
      </w:r>
    </w:p>
    <w:p w14:paraId="00000030" w14:textId="77777777" w:rsidR="00E502ED" w:rsidRDefault="001A2F47">
      <w:pPr>
        <w:spacing w:before="240" w:after="240" w:line="240" w:lineRule="auto"/>
        <w:jc w:val="both"/>
      </w:pPr>
      <w:proofErr w:type="gramStart"/>
      <w:r>
        <w:t>étudiants</w:t>
      </w:r>
      <w:proofErr w:type="gramEnd"/>
      <w:r>
        <w:t>: 40 euros (comprenant le déjeuner du jeudi et du vendredi)</w:t>
      </w:r>
    </w:p>
    <w:p w14:paraId="00000031" w14:textId="77777777" w:rsidR="00E502ED" w:rsidRDefault="001A2F47">
      <w:pPr>
        <w:spacing w:before="240" w:after="240" w:line="240" w:lineRule="auto"/>
        <w:jc w:val="both"/>
      </w:pPr>
      <w:r>
        <w:t>Lors de votre inscription, vous pourrez également vous inscrire, si vous le souhaitez, au dîner de gala qui aura lieu le jeudi soir (prix: 40 euros).</w:t>
      </w:r>
    </w:p>
    <w:p w14:paraId="00000032" w14:textId="77777777" w:rsidR="00E502ED" w:rsidRDefault="001A2F47">
      <w:pPr>
        <w:spacing w:before="240" w:after="240" w:line="240" w:lineRule="auto"/>
        <w:jc w:val="both"/>
      </w:pPr>
      <w:r>
        <w:t>Les inscriptions se</w:t>
      </w:r>
      <w:r>
        <w:t xml:space="preserve"> feront sur le site du colloque.</w:t>
      </w:r>
    </w:p>
    <w:p w14:paraId="00000033" w14:textId="77777777" w:rsidR="00E502ED" w:rsidRDefault="00E502ED">
      <w:pPr>
        <w:spacing w:before="240" w:after="240" w:line="240" w:lineRule="auto"/>
        <w:jc w:val="both"/>
      </w:pPr>
    </w:p>
    <w:p w14:paraId="00000034" w14:textId="77777777" w:rsidR="00E502ED" w:rsidRDefault="001A2F47">
      <w:pPr>
        <w:spacing w:before="240" w:after="240" w:line="240" w:lineRule="auto"/>
        <w:jc w:val="both"/>
        <w:rPr>
          <w:b/>
        </w:rPr>
      </w:pPr>
      <w:r>
        <w:rPr>
          <w:b/>
        </w:rPr>
        <w:t>Responsables du colloque</w:t>
      </w:r>
    </w:p>
    <w:p w14:paraId="00000035" w14:textId="77777777" w:rsidR="00E502ED" w:rsidRDefault="001A2F47">
      <w:pPr>
        <w:spacing w:after="0" w:line="276" w:lineRule="auto"/>
      </w:pPr>
      <w:r>
        <w:t xml:space="preserve">Sophie </w:t>
      </w:r>
      <w:proofErr w:type="spellStart"/>
      <w:r>
        <w:t>Babault</w:t>
      </w:r>
      <w:proofErr w:type="spellEnd"/>
    </w:p>
    <w:p w14:paraId="00000036" w14:textId="77777777" w:rsidR="00E502ED" w:rsidRDefault="001A2F47">
      <w:pPr>
        <w:spacing w:after="0" w:line="276" w:lineRule="auto"/>
      </w:pPr>
      <w:r>
        <w:t xml:space="preserve">Oriane </w:t>
      </w:r>
      <w:proofErr w:type="spellStart"/>
      <w:r>
        <w:t>Gélin</w:t>
      </w:r>
      <w:proofErr w:type="spellEnd"/>
    </w:p>
    <w:p w14:paraId="00000037" w14:textId="77777777" w:rsidR="00E502ED" w:rsidRDefault="001A2F47">
      <w:pPr>
        <w:spacing w:after="0" w:line="276" w:lineRule="auto"/>
      </w:pPr>
      <w:r>
        <w:t xml:space="preserve">Emilie </w:t>
      </w:r>
      <w:proofErr w:type="spellStart"/>
      <w:r>
        <w:t>Kasazian</w:t>
      </w:r>
      <w:proofErr w:type="spellEnd"/>
    </w:p>
    <w:p w14:paraId="00000038" w14:textId="77777777" w:rsidR="00E502ED" w:rsidRDefault="001A2F47">
      <w:pPr>
        <w:spacing w:after="0" w:line="276" w:lineRule="auto"/>
      </w:pPr>
      <w:r>
        <w:t xml:space="preserve">Laure </w:t>
      </w:r>
      <w:proofErr w:type="spellStart"/>
      <w:r>
        <w:t>Sochala</w:t>
      </w:r>
      <w:proofErr w:type="spellEnd"/>
    </w:p>
    <w:p w14:paraId="00000039" w14:textId="77777777" w:rsidR="00E502ED" w:rsidRDefault="00E502ED">
      <w:pPr>
        <w:spacing w:after="0" w:line="276" w:lineRule="auto"/>
      </w:pPr>
    </w:p>
    <w:p w14:paraId="0000003A" w14:textId="77777777" w:rsidR="00E502ED" w:rsidRDefault="001A2F47">
      <w:pPr>
        <w:spacing w:after="0" w:line="276" w:lineRule="auto"/>
        <w:rPr>
          <w:b/>
        </w:rPr>
      </w:pPr>
      <w:r>
        <w:rPr>
          <w:b/>
        </w:rPr>
        <w:t>Comité scientifique</w:t>
      </w:r>
    </w:p>
    <w:p w14:paraId="0000003B" w14:textId="77777777" w:rsidR="00E502ED" w:rsidRPr="00FF3505" w:rsidRDefault="001A2F47">
      <w:pPr>
        <w:spacing w:after="0" w:line="276" w:lineRule="auto"/>
        <w:rPr>
          <w:lang w:val="en-US"/>
        </w:rPr>
      </w:pPr>
      <w:r w:rsidRPr="00FF3505">
        <w:rPr>
          <w:lang w:val="en-US"/>
        </w:rPr>
        <w:t>Silvia Araujo (</w:t>
      </w:r>
      <w:proofErr w:type="spellStart"/>
      <w:r w:rsidRPr="00FF3505">
        <w:rPr>
          <w:lang w:val="en-US"/>
        </w:rPr>
        <w:t>Universidade</w:t>
      </w:r>
      <w:proofErr w:type="spellEnd"/>
      <w:r w:rsidRPr="00FF3505">
        <w:rPr>
          <w:lang w:val="en-US"/>
        </w:rPr>
        <w:t xml:space="preserve"> do Minho, Portugal, CEHUM) </w:t>
      </w:r>
    </w:p>
    <w:p w14:paraId="0000003C" w14:textId="77777777" w:rsidR="00E502ED" w:rsidRDefault="001A2F47">
      <w:pPr>
        <w:spacing w:after="0" w:line="276" w:lineRule="auto"/>
      </w:pPr>
      <w:r>
        <w:t xml:space="preserve">Violaine Bigot (Université paris Sorbonne-Nouvelle, DILTEC) </w:t>
      </w:r>
    </w:p>
    <w:p w14:paraId="0000003D" w14:textId="77777777" w:rsidR="00E502ED" w:rsidRDefault="001A2F47">
      <w:pPr>
        <w:spacing w:after="0" w:line="276" w:lineRule="auto"/>
      </w:pPr>
      <w:r>
        <w:t>M</w:t>
      </w:r>
      <w:r>
        <w:t xml:space="preserve">onika </w:t>
      </w:r>
      <w:proofErr w:type="spellStart"/>
      <w:r>
        <w:t>Grabowska</w:t>
      </w:r>
      <w:proofErr w:type="spellEnd"/>
      <w:r>
        <w:t xml:space="preserve"> (</w:t>
      </w:r>
      <w:proofErr w:type="spellStart"/>
      <w:r>
        <w:t>Uniwersitet</w:t>
      </w:r>
      <w:proofErr w:type="spellEnd"/>
      <w:r>
        <w:t xml:space="preserve"> </w:t>
      </w:r>
      <w:proofErr w:type="spellStart"/>
      <w:r>
        <w:t>Wroclawski</w:t>
      </w:r>
      <w:proofErr w:type="spellEnd"/>
      <w:r>
        <w:t xml:space="preserve">, Pologne) </w:t>
      </w:r>
    </w:p>
    <w:p w14:paraId="0000003E" w14:textId="77777777" w:rsidR="00E502ED" w:rsidRDefault="001A2F47">
      <w:pPr>
        <w:spacing w:after="0" w:line="276" w:lineRule="auto"/>
      </w:pPr>
      <w:r>
        <w:t>Claudine Garcia-</w:t>
      </w:r>
      <w:proofErr w:type="spellStart"/>
      <w:r>
        <w:t>Debanc</w:t>
      </w:r>
      <w:proofErr w:type="spellEnd"/>
      <w:r>
        <w:t xml:space="preserve"> (Université de Toulouse, CLLE &amp; UT2) </w:t>
      </w:r>
    </w:p>
    <w:p w14:paraId="0000003F" w14:textId="77777777" w:rsidR="00E502ED" w:rsidRDefault="001A2F47">
      <w:pPr>
        <w:spacing w:after="0" w:line="276" w:lineRule="auto"/>
      </w:pPr>
      <w:r>
        <w:t xml:space="preserve">Christophe Hache (Université Paris Diderot, LDAR) </w:t>
      </w:r>
    </w:p>
    <w:p w14:paraId="00000040" w14:textId="77777777" w:rsidR="00E502ED" w:rsidRDefault="001A2F47">
      <w:pPr>
        <w:spacing w:after="0" w:line="276" w:lineRule="auto"/>
      </w:pPr>
      <w:r>
        <w:t xml:space="preserve">Marie-Pascale </w:t>
      </w:r>
      <w:proofErr w:type="spellStart"/>
      <w:r>
        <w:t>Hamez</w:t>
      </w:r>
      <w:proofErr w:type="spellEnd"/>
      <w:r>
        <w:t xml:space="preserve"> (Université de Lille, CIREL) </w:t>
      </w:r>
    </w:p>
    <w:p w14:paraId="00000041" w14:textId="77777777" w:rsidR="00E502ED" w:rsidRDefault="001A2F47">
      <w:pPr>
        <w:spacing w:after="0" w:line="276" w:lineRule="auto"/>
      </w:pPr>
      <w:r>
        <w:t>Martine Jaubert (Université de Bordeaux, E3</w:t>
      </w:r>
      <w:r>
        <w:t xml:space="preserve">D) </w:t>
      </w:r>
    </w:p>
    <w:p w14:paraId="00000042" w14:textId="77777777" w:rsidR="00E502ED" w:rsidRDefault="001A2F47">
      <w:pPr>
        <w:spacing w:after="0" w:line="276" w:lineRule="auto"/>
      </w:pPr>
      <w:r>
        <w:t xml:space="preserve">Annie </w:t>
      </w:r>
      <w:proofErr w:type="spellStart"/>
      <w:r>
        <w:t>Jézégou</w:t>
      </w:r>
      <w:proofErr w:type="spellEnd"/>
      <w:r>
        <w:t xml:space="preserve"> (Université de Lille, CIREL) </w:t>
      </w:r>
    </w:p>
    <w:p w14:paraId="00000043" w14:textId="77777777" w:rsidR="00E502ED" w:rsidRDefault="001A2F47">
      <w:pPr>
        <w:spacing w:after="0" w:line="276" w:lineRule="auto"/>
      </w:pPr>
      <w:r>
        <w:t xml:space="preserve">Christophe </w:t>
      </w:r>
      <w:proofErr w:type="spellStart"/>
      <w:r>
        <w:t>Joigneaux</w:t>
      </w:r>
      <w:proofErr w:type="spellEnd"/>
      <w:r>
        <w:t xml:space="preserve"> (Université de Lille, ESCOL) </w:t>
      </w:r>
    </w:p>
    <w:p w14:paraId="00000044" w14:textId="77777777" w:rsidR="00E502ED" w:rsidRDefault="001A2F47">
      <w:pPr>
        <w:spacing w:after="0" w:line="276" w:lineRule="auto"/>
      </w:pPr>
      <w:r>
        <w:t xml:space="preserve">Jean-Marc </w:t>
      </w:r>
      <w:proofErr w:type="spellStart"/>
      <w:r>
        <w:t>Mangiante</w:t>
      </w:r>
      <w:proofErr w:type="spellEnd"/>
      <w:r>
        <w:t xml:space="preserve"> (Université d’Artois, </w:t>
      </w:r>
      <w:proofErr w:type="spellStart"/>
      <w:r>
        <w:t>Grammatica</w:t>
      </w:r>
      <w:proofErr w:type="spellEnd"/>
      <w:r>
        <w:t xml:space="preserve">) </w:t>
      </w:r>
    </w:p>
    <w:p w14:paraId="00000045" w14:textId="77777777" w:rsidR="00E502ED" w:rsidRDefault="001A2F47">
      <w:pPr>
        <w:spacing w:after="0" w:line="276" w:lineRule="auto"/>
      </w:pPr>
      <w:r>
        <w:t xml:space="preserve">Catherine </w:t>
      </w:r>
      <w:proofErr w:type="spellStart"/>
      <w:r>
        <w:t>Mendonça</w:t>
      </w:r>
      <w:proofErr w:type="spellEnd"/>
      <w:r>
        <w:t xml:space="preserve"> (Université Paris Sorbonne-Nouvelle, DILTEC) </w:t>
      </w:r>
    </w:p>
    <w:p w14:paraId="00000046" w14:textId="77777777" w:rsidR="00E502ED" w:rsidRPr="00FF3505" w:rsidRDefault="001A2F47">
      <w:pPr>
        <w:spacing w:after="0" w:line="276" w:lineRule="auto"/>
        <w:rPr>
          <w:lang w:val="en-US"/>
        </w:rPr>
      </w:pPr>
      <w:r w:rsidRPr="00FF3505">
        <w:rPr>
          <w:lang w:val="en-US"/>
        </w:rPr>
        <w:t>Danusa Munford (</w:t>
      </w:r>
      <w:proofErr w:type="spellStart"/>
      <w:r w:rsidRPr="00FF3505">
        <w:rPr>
          <w:lang w:val="en-US"/>
        </w:rPr>
        <w:t>Universidade</w:t>
      </w:r>
      <w:proofErr w:type="spellEnd"/>
      <w:r w:rsidRPr="00FF3505">
        <w:rPr>
          <w:lang w:val="en-US"/>
        </w:rPr>
        <w:t xml:space="preserve"> federal do ABC, </w:t>
      </w:r>
      <w:proofErr w:type="spellStart"/>
      <w:r w:rsidRPr="00FF3505">
        <w:rPr>
          <w:lang w:val="en-US"/>
        </w:rPr>
        <w:t>Brésil</w:t>
      </w:r>
      <w:proofErr w:type="spellEnd"/>
      <w:r w:rsidRPr="00FF3505">
        <w:rPr>
          <w:lang w:val="en-US"/>
        </w:rPr>
        <w:t xml:space="preserve">, CCNH) </w:t>
      </w:r>
    </w:p>
    <w:p w14:paraId="00000047" w14:textId="77777777" w:rsidR="00E502ED" w:rsidRDefault="001A2F47">
      <w:pPr>
        <w:spacing w:after="0" w:line="276" w:lineRule="auto"/>
      </w:pPr>
      <w:r>
        <w:t xml:space="preserve">Paola </w:t>
      </w:r>
      <w:proofErr w:type="spellStart"/>
      <w:r>
        <w:t>Pietrandrea</w:t>
      </w:r>
      <w:proofErr w:type="spellEnd"/>
      <w:r>
        <w:t xml:space="preserve"> (Université de Lille, STL)   </w:t>
      </w:r>
    </w:p>
    <w:p w14:paraId="00000048" w14:textId="77777777" w:rsidR="00E502ED" w:rsidRDefault="001A2F47">
      <w:pPr>
        <w:spacing w:after="0" w:line="276" w:lineRule="auto"/>
      </w:pPr>
      <w:r>
        <w:t xml:space="preserve">Annick </w:t>
      </w:r>
      <w:proofErr w:type="spellStart"/>
      <w:r>
        <w:t>Rivens</w:t>
      </w:r>
      <w:proofErr w:type="spellEnd"/>
      <w:r>
        <w:t xml:space="preserve"> (Université de Lille, STL) </w:t>
      </w:r>
    </w:p>
    <w:p w14:paraId="00000049" w14:textId="77777777" w:rsidR="00E502ED" w:rsidRDefault="001A2F47">
      <w:pPr>
        <w:spacing w:after="0" w:line="276" w:lineRule="auto"/>
      </w:pPr>
      <w:r>
        <w:t xml:space="preserve">Véronique Rivière (Université Lyon 2, ICAR) </w:t>
      </w:r>
    </w:p>
    <w:p w14:paraId="0000004A" w14:textId="77777777" w:rsidR="00E502ED" w:rsidRDefault="001A2F47">
      <w:pPr>
        <w:spacing w:after="0" w:line="276" w:lineRule="auto"/>
      </w:pPr>
      <w:proofErr w:type="spellStart"/>
      <w:r>
        <w:t>Elsie</w:t>
      </w:r>
      <w:proofErr w:type="spellEnd"/>
      <w:r>
        <w:t xml:space="preserve"> Rockwell (</w:t>
      </w:r>
      <w:proofErr w:type="spellStart"/>
      <w:r>
        <w:t>Cinvestav</w:t>
      </w:r>
      <w:proofErr w:type="spellEnd"/>
      <w:r>
        <w:t xml:space="preserve"> Mexico, Mexique) </w:t>
      </w:r>
    </w:p>
    <w:p w14:paraId="0000004B" w14:textId="77777777" w:rsidR="00E502ED" w:rsidRDefault="001A2F47">
      <w:pPr>
        <w:spacing w:after="0" w:line="276" w:lineRule="auto"/>
      </w:pPr>
      <w:r>
        <w:t xml:space="preserve">Evelyne </w:t>
      </w:r>
      <w:proofErr w:type="spellStart"/>
      <w:r>
        <w:t>Rosen</w:t>
      </w:r>
      <w:proofErr w:type="spellEnd"/>
      <w:r>
        <w:t xml:space="preserve"> (Université de Lille, laboratoire CIREL) </w:t>
      </w:r>
    </w:p>
    <w:p w14:paraId="0000004C" w14:textId="77777777" w:rsidR="00E502ED" w:rsidRDefault="001A2F47">
      <w:pPr>
        <w:spacing w:after="0" w:line="276" w:lineRule="auto"/>
      </w:pPr>
      <w:r>
        <w:t xml:space="preserve">Sabrina Royer (Université de Lille, laboratoire STL) </w:t>
      </w:r>
    </w:p>
    <w:p w14:paraId="0000004D" w14:textId="77777777" w:rsidR="00E502ED" w:rsidRDefault="001A2F47">
      <w:pPr>
        <w:spacing w:after="0" w:line="276" w:lineRule="auto"/>
      </w:pPr>
      <w:r>
        <w:t xml:space="preserve">Catherine </w:t>
      </w:r>
      <w:proofErr w:type="spellStart"/>
      <w:r>
        <w:t>Souplet</w:t>
      </w:r>
      <w:proofErr w:type="spellEnd"/>
      <w:r>
        <w:t xml:space="preserve"> (Université de Lille, laboratoire CIREL) </w:t>
      </w:r>
    </w:p>
    <w:p w14:paraId="0000004E" w14:textId="77777777" w:rsidR="00E502ED" w:rsidRDefault="001A2F47">
      <w:pPr>
        <w:spacing w:after="0" w:line="276" w:lineRule="auto"/>
      </w:pPr>
      <w:r>
        <w:t xml:space="preserve">Gabriela Steffen (Université de Genève, Suisse) </w:t>
      </w:r>
    </w:p>
    <w:p w14:paraId="0000004F" w14:textId="77777777" w:rsidR="00E502ED" w:rsidRPr="00FF3505" w:rsidRDefault="001A2F47">
      <w:pPr>
        <w:spacing w:after="0" w:line="276" w:lineRule="auto"/>
        <w:rPr>
          <w:lang w:val="en-US"/>
        </w:rPr>
      </w:pPr>
      <w:r w:rsidRPr="00FF3505">
        <w:rPr>
          <w:lang w:val="en-US"/>
        </w:rPr>
        <w:t xml:space="preserve">Rada </w:t>
      </w:r>
      <w:proofErr w:type="spellStart"/>
      <w:r w:rsidRPr="00FF3505">
        <w:rPr>
          <w:lang w:val="en-US"/>
        </w:rPr>
        <w:t>Tirvassen</w:t>
      </w:r>
      <w:proofErr w:type="spellEnd"/>
      <w:r w:rsidRPr="00FF3505">
        <w:rPr>
          <w:lang w:val="en-US"/>
        </w:rPr>
        <w:t xml:space="preserve"> (University of Pretori</w:t>
      </w:r>
      <w:r w:rsidRPr="00FF3505">
        <w:rPr>
          <w:lang w:val="en-US"/>
        </w:rPr>
        <w:t xml:space="preserve">a) </w:t>
      </w:r>
    </w:p>
    <w:p w14:paraId="00000050" w14:textId="77777777" w:rsidR="00E502ED" w:rsidRDefault="001A2F47">
      <w:pPr>
        <w:spacing w:after="0" w:line="276" w:lineRule="auto"/>
      </w:pPr>
      <w:r>
        <w:t xml:space="preserve">Stéphanie </w:t>
      </w:r>
      <w:proofErr w:type="spellStart"/>
      <w:r>
        <w:t>Volteau</w:t>
      </w:r>
      <w:proofErr w:type="spellEnd"/>
      <w:r>
        <w:t xml:space="preserve"> (université de Poitiers, </w:t>
      </w:r>
      <w:proofErr w:type="spellStart"/>
      <w:r>
        <w:t>FoReLLIS</w:t>
      </w:r>
      <w:proofErr w:type="spellEnd"/>
      <w:r>
        <w:t xml:space="preserve"> EA3816)</w:t>
      </w:r>
    </w:p>
    <w:p w14:paraId="00000051" w14:textId="77777777" w:rsidR="00E502ED" w:rsidRDefault="00E502ED">
      <w:pPr>
        <w:spacing w:after="0" w:line="276" w:lineRule="auto"/>
      </w:pPr>
    </w:p>
    <w:p w14:paraId="00000052" w14:textId="77777777" w:rsidR="00E502ED" w:rsidRDefault="00E502ED">
      <w:pPr>
        <w:spacing w:after="0" w:line="276" w:lineRule="auto"/>
      </w:pPr>
    </w:p>
    <w:p w14:paraId="00000053" w14:textId="77777777" w:rsidR="00E502ED" w:rsidRDefault="001A2F47">
      <w:pPr>
        <w:spacing w:after="0" w:line="240" w:lineRule="auto"/>
        <w:rPr>
          <w:b/>
        </w:rPr>
      </w:pPr>
      <w:r>
        <w:rPr>
          <w:b/>
        </w:rPr>
        <w:t>Comité d’organisation</w:t>
      </w:r>
    </w:p>
    <w:p w14:paraId="00000054" w14:textId="77777777" w:rsidR="00E502ED" w:rsidRDefault="001A2F47">
      <w:pPr>
        <w:spacing w:after="0" w:line="276" w:lineRule="auto"/>
      </w:pPr>
      <w:r>
        <w:t xml:space="preserve">Sophie </w:t>
      </w:r>
      <w:proofErr w:type="spellStart"/>
      <w:r>
        <w:t>Babault</w:t>
      </w:r>
      <w:proofErr w:type="spellEnd"/>
    </w:p>
    <w:p w14:paraId="00000055" w14:textId="77777777" w:rsidR="00E502ED" w:rsidRDefault="001A2F47">
      <w:pPr>
        <w:pBdr>
          <w:top w:val="nil"/>
          <w:left w:val="nil"/>
          <w:bottom w:val="nil"/>
          <w:right w:val="nil"/>
          <w:between w:val="nil"/>
        </w:pBdr>
        <w:spacing w:after="0" w:line="276" w:lineRule="auto"/>
      </w:pPr>
      <w:r>
        <w:t xml:space="preserve">Eva </w:t>
      </w:r>
      <w:proofErr w:type="spellStart"/>
      <w:r>
        <w:t>Donohoe</w:t>
      </w:r>
      <w:proofErr w:type="spellEnd"/>
    </w:p>
    <w:p w14:paraId="00000056" w14:textId="77777777" w:rsidR="00E502ED" w:rsidRDefault="001A2F47">
      <w:pPr>
        <w:pBdr>
          <w:top w:val="nil"/>
          <w:left w:val="nil"/>
          <w:bottom w:val="nil"/>
          <w:right w:val="nil"/>
          <w:between w:val="nil"/>
        </w:pBdr>
        <w:spacing w:after="0" w:line="276" w:lineRule="auto"/>
      </w:pPr>
      <w:r>
        <w:t xml:space="preserve">Mahamadou Doumbia </w:t>
      </w:r>
    </w:p>
    <w:p w14:paraId="00000057" w14:textId="77777777" w:rsidR="00E502ED" w:rsidRDefault="001A2F47">
      <w:pPr>
        <w:pBdr>
          <w:top w:val="nil"/>
          <w:left w:val="nil"/>
          <w:bottom w:val="nil"/>
          <w:right w:val="nil"/>
          <w:between w:val="nil"/>
        </w:pBdr>
        <w:spacing w:after="0" w:line="276" w:lineRule="auto"/>
      </w:pPr>
      <w:r>
        <w:t xml:space="preserve">Oriane </w:t>
      </w:r>
      <w:proofErr w:type="spellStart"/>
      <w:r>
        <w:t>Gélin</w:t>
      </w:r>
      <w:proofErr w:type="spellEnd"/>
    </w:p>
    <w:p w14:paraId="00000058" w14:textId="77777777" w:rsidR="00E502ED" w:rsidRDefault="001A2F47">
      <w:pPr>
        <w:pBdr>
          <w:top w:val="nil"/>
          <w:left w:val="nil"/>
          <w:bottom w:val="nil"/>
          <w:right w:val="nil"/>
          <w:between w:val="nil"/>
        </w:pBdr>
        <w:spacing w:after="0" w:line="276" w:lineRule="auto"/>
      </w:pPr>
      <w:r>
        <w:t xml:space="preserve">Emilie </w:t>
      </w:r>
      <w:proofErr w:type="spellStart"/>
      <w:r>
        <w:t>Kasazian</w:t>
      </w:r>
      <w:proofErr w:type="spellEnd"/>
    </w:p>
    <w:p w14:paraId="00000059" w14:textId="77777777" w:rsidR="00E502ED" w:rsidRDefault="001A2F47">
      <w:pPr>
        <w:pBdr>
          <w:top w:val="nil"/>
          <w:left w:val="nil"/>
          <w:bottom w:val="nil"/>
          <w:right w:val="nil"/>
          <w:between w:val="nil"/>
        </w:pBdr>
        <w:spacing w:after="0" w:line="276" w:lineRule="auto"/>
      </w:pPr>
      <w:r>
        <w:t xml:space="preserve">Diana Santos </w:t>
      </w:r>
    </w:p>
    <w:p w14:paraId="0000005A" w14:textId="77777777" w:rsidR="00E502ED" w:rsidRDefault="001A2F47">
      <w:pPr>
        <w:pBdr>
          <w:top w:val="nil"/>
          <w:left w:val="nil"/>
          <w:bottom w:val="nil"/>
          <w:right w:val="nil"/>
          <w:between w:val="nil"/>
        </w:pBdr>
        <w:spacing w:after="0" w:line="276" w:lineRule="auto"/>
      </w:pPr>
      <w:r>
        <w:t xml:space="preserve">Laure </w:t>
      </w:r>
      <w:proofErr w:type="spellStart"/>
      <w:r>
        <w:t>Sochala</w:t>
      </w:r>
      <w:proofErr w:type="spellEnd"/>
    </w:p>
    <w:p w14:paraId="0000005B" w14:textId="77777777" w:rsidR="00E502ED" w:rsidRDefault="00E502ED">
      <w:pPr>
        <w:spacing w:after="0" w:line="276" w:lineRule="auto"/>
        <w:rPr>
          <w:rFonts w:ascii="Arial" w:eastAsia="Arial" w:hAnsi="Arial" w:cs="Arial"/>
        </w:rPr>
      </w:pPr>
    </w:p>
    <w:p w14:paraId="0000005C" w14:textId="77777777" w:rsidR="00E502ED" w:rsidRDefault="00E502ED">
      <w:pPr>
        <w:spacing w:after="0" w:line="240" w:lineRule="auto"/>
      </w:pPr>
    </w:p>
    <w:p w14:paraId="0000005D" w14:textId="77777777" w:rsidR="00E502ED" w:rsidRDefault="00E502ED">
      <w:pPr>
        <w:spacing w:after="0" w:line="240" w:lineRule="auto"/>
      </w:pPr>
    </w:p>
    <w:p w14:paraId="0000005E" w14:textId="77777777" w:rsidR="00E502ED" w:rsidRDefault="001A2F47">
      <w:pPr>
        <w:spacing w:after="0" w:line="240" w:lineRule="auto"/>
        <w:rPr>
          <w:b/>
        </w:rPr>
      </w:pPr>
      <w:r>
        <w:rPr>
          <w:b/>
        </w:rPr>
        <w:t>Site du colloque</w:t>
      </w:r>
    </w:p>
    <w:p w14:paraId="0000005F" w14:textId="77777777" w:rsidR="00E502ED" w:rsidRDefault="001A2F47">
      <w:pPr>
        <w:spacing w:before="240" w:after="240" w:line="240" w:lineRule="auto"/>
        <w:jc w:val="both"/>
      </w:pPr>
      <w:r>
        <w:t>http://interact2022.sciencesconf.org</w:t>
      </w:r>
    </w:p>
    <w:p w14:paraId="00000060" w14:textId="77777777" w:rsidR="00E502ED" w:rsidRDefault="00E502ED">
      <w:pPr>
        <w:spacing w:after="0" w:line="240" w:lineRule="auto"/>
      </w:pPr>
    </w:p>
    <w:p w14:paraId="00000061" w14:textId="77777777" w:rsidR="00E502ED" w:rsidRDefault="001A2F47">
      <w:pPr>
        <w:spacing w:after="0" w:line="240" w:lineRule="auto"/>
        <w:rPr>
          <w:b/>
        </w:rPr>
      </w:pPr>
      <w:r>
        <w:rPr>
          <w:b/>
        </w:rPr>
        <w:t>Contacts</w:t>
      </w:r>
    </w:p>
    <w:p w14:paraId="00000062" w14:textId="77777777" w:rsidR="00E502ED" w:rsidRDefault="001A2F47">
      <w:pPr>
        <w:spacing w:after="0" w:line="240" w:lineRule="auto"/>
      </w:pPr>
      <w:r>
        <w:t>interact2022@sciencesconf.org</w:t>
      </w:r>
    </w:p>
    <w:p w14:paraId="00000063" w14:textId="77777777" w:rsidR="00E502ED" w:rsidRDefault="00E502ED">
      <w:pPr>
        <w:spacing w:after="0" w:line="240" w:lineRule="auto"/>
      </w:pPr>
    </w:p>
    <w:p w14:paraId="00000064" w14:textId="77777777" w:rsidR="00E502ED" w:rsidRDefault="00E502ED">
      <w:pPr>
        <w:spacing w:after="0" w:line="240" w:lineRule="auto"/>
      </w:pPr>
    </w:p>
    <w:p w14:paraId="00000065" w14:textId="77777777" w:rsidR="00E502ED" w:rsidRDefault="001A2F47">
      <w:pPr>
        <w:spacing w:before="240" w:after="240" w:line="240" w:lineRule="auto"/>
        <w:jc w:val="both"/>
      </w:pPr>
      <w:r>
        <w:rPr>
          <w:b/>
          <w:color w:val="000000"/>
        </w:rPr>
        <w:lastRenderedPageBreak/>
        <w:t>Références bibliographiques</w:t>
      </w:r>
    </w:p>
    <w:p w14:paraId="00000066" w14:textId="77777777" w:rsidR="00E502ED" w:rsidRDefault="001A2F47">
      <w:pPr>
        <w:spacing w:before="240" w:after="120" w:line="240" w:lineRule="auto"/>
        <w:jc w:val="both"/>
      </w:pPr>
      <w:proofErr w:type="spellStart"/>
      <w:r>
        <w:t>Babault</w:t>
      </w:r>
      <w:proofErr w:type="spellEnd"/>
      <w:r>
        <w:t xml:space="preserve"> S. (2015). </w:t>
      </w:r>
      <w:r>
        <w:rPr>
          <w:i/>
        </w:rPr>
        <w:t>L’éducation bilingue : enjeux de politique linguistique, appropriation par les acteurs sociaux, développement de compétences chez les apprenants</w:t>
      </w:r>
      <w:r>
        <w:t>. Habilitation à diriger</w:t>
      </w:r>
      <w:r>
        <w:t xml:space="preserve"> des recherches, document de synthèse. Université Lille 3.</w:t>
      </w:r>
    </w:p>
    <w:p w14:paraId="00000067" w14:textId="77777777" w:rsidR="00E502ED" w:rsidRDefault="001A2F47">
      <w:pPr>
        <w:spacing w:before="240" w:after="120" w:line="240" w:lineRule="auto"/>
        <w:jc w:val="both"/>
        <w:rPr>
          <w:color w:val="000000"/>
        </w:rPr>
      </w:pPr>
      <w:proofErr w:type="spellStart"/>
      <w:r>
        <w:rPr>
          <w:color w:val="000000"/>
        </w:rPr>
        <w:t>Babault</w:t>
      </w:r>
      <w:proofErr w:type="spellEnd"/>
      <w:r>
        <w:rPr>
          <w:color w:val="000000"/>
        </w:rPr>
        <w:t xml:space="preserve"> S. (2018). Enseignement du français aux élèves allophones nouvellement arrivés en France : innover pour répondre au défi de l’inclusion scolaire. </w:t>
      </w:r>
      <w:r>
        <w:rPr>
          <w:i/>
          <w:color w:val="000000"/>
        </w:rPr>
        <w:t>Le langage et l’homme</w:t>
      </w:r>
      <w:r>
        <w:rPr>
          <w:color w:val="000000"/>
        </w:rPr>
        <w:t>, 53/2, 157-177.</w:t>
      </w:r>
    </w:p>
    <w:p w14:paraId="00000068" w14:textId="77777777" w:rsidR="00E502ED" w:rsidRDefault="001A2F47">
      <w:pPr>
        <w:pBdr>
          <w:top w:val="nil"/>
          <w:left w:val="nil"/>
          <w:bottom w:val="nil"/>
          <w:right w:val="nil"/>
          <w:between w:val="nil"/>
        </w:pBdr>
        <w:spacing w:before="240" w:after="120" w:line="240" w:lineRule="auto"/>
        <w:jc w:val="both"/>
      </w:pPr>
      <w:proofErr w:type="spellStart"/>
      <w:r>
        <w:t>Bautier</w:t>
      </w:r>
      <w:proofErr w:type="spellEnd"/>
      <w:r>
        <w:t xml:space="preserve"> E. (2006). Le rôle des pratiques des maîtres dans les difficultés scolaires des élèves. Une analyse de pratiques intégrant la dimension des difficultés socialement </w:t>
      </w:r>
      <w:proofErr w:type="spellStart"/>
      <w:r>
        <w:t>differenciées</w:t>
      </w:r>
      <w:proofErr w:type="spellEnd"/>
      <w:r>
        <w:t xml:space="preserve">. </w:t>
      </w:r>
      <w:r>
        <w:rPr>
          <w:i/>
        </w:rPr>
        <w:t xml:space="preserve">Pratiques </w:t>
      </w:r>
      <w:r>
        <w:t xml:space="preserve">143-144, 11-26. DOI: </w:t>
      </w:r>
      <w:hyperlink r:id="rId7">
        <w:r>
          <w:t>https://doi.org/10.4000/pratiques.137</w:t>
        </w:r>
      </w:hyperlink>
      <w:r>
        <w:t>8</w:t>
      </w:r>
    </w:p>
    <w:p w14:paraId="00000069" w14:textId="77777777" w:rsidR="00E502ED" w:rsidRPr="00FF3505" w:rsidRDefault="001A2F47">
      <w:pPr>
        <w:pBdr>
          <w:top w:val="nil"/>
          <w:left w:val="nil"/>
          <w:bottom w:val="nil"/>
          <w:right w:val="nil"/>
          <w:between w:val="nil"/>
        </w:pBdr>
        <w:spacing w:before="240" w:after="120" w:line="240" w:lineRule="auto"/>
        <w:jc w:val="both"/>
        <w:rPr>
          <w:lang w:val="en-US"/>
        </w:rPr>
      </w:pPr>
      <w:r>
        <w:t xml:space="preserve">Bigot V., </w:t>
      </w:r>
      <w:proofErr w:type="spellStart"/>
      <w:r>
        <w:t>Leclère</w:t>
      </w:r>
      <w:proofErr w:type="spellEnd"/>
      <w:r>
        <w:t xml:space="preserve"> M., Romero M. (2017). Place des enjeux d’acquisition langagière dans le multi-agenda de l’enseignant de </w:t>
      </w:r>
      <w:proofErr w:type="spellStart"/>
      <w:r>
        <w:t>DdNL</w:t>
      </w:r>
      <w:proofErr w:type="spellEnd"/>
      <w:r>
        <w:t xml:space="preserve">: l’exemple d’un cours d’histoire pour collégiens allophones. </w:t>
      </w:r>
      <w:r w:rsidRPr="00FF3505">
        <w:rPr>
          <w:i/>
          <w:lang w:val="en-US"/>
        </w:rPr>
        <w:t>The Canad</w:t>
      </w:r>
      <w:r w:rsidRPr="00FF3505">
        <w:rPr>
          <w:i/>
          <w:lang w:val="en-US"/>
        </w:rPr>
        <w:t>ian Modern Language Review</w:t>
      </w:r>
      <w:r w:rsidRPr="00FF3505">
        <w:rPr>
          <w:lang w:val="en-US"/>
        </w:rPr>
        <w:t xml:space="preserve"> 73/2, 237-253.</w:t>
      </w:r>
    </w:p>
    <w:p w14:paraId="0000006A" w14:textId="77777777" w:rsidR="00E502ED" w:rsidRPr="00FF3505" w:rsidRDefault="001A2F47">
      <w:pPr>
        <w:spacing w:before="240" w:after="240" w:line="240" w:lineRule="auto"/>
        <w:jc w:val="both"/>
        <w:rPr>
          <w:highlight w:val="white"/>
          <w:lang w:val="en-US"/>
        </w:rPr>
      </w:pPr>
      <w:r w:rsidRPr="00FF3505">
        <w:rPr>
          <w:highlight w:val="white"/>
          <w:lang w:val="en-US"/>
        </w:rPr>
        <w:t xml:space="preserve">Borg, S. (2003). Teacher cognition in language </w:t>
      </w:r>
      <w:proofErr w:type="gramStart"/>
      <w:r w:rsidRPr="00FF3505">
        <w:rPr>
          <w:highlight w:val="white"/>
          <w:lang w:val="en-US"/>
        </w:rPr>
        <w:t>teaching :</w:t>
      </w:r>
      <w:proofErr w:type="gramEnd"/>
      <w:r w:rsidRPr="00FF3505">
        <w:rPr>
          <w:highlight w:val="white"/>
          <w:lang w:val="en-US"/>
        </w:rPr>
        <w:t xml:space="preserve"> A review of research on what language teachers think, know, believe, and do. </w:t>
      </w:r>
      <w:r w:rsidRPr="00FF3505">
        <w:rPr>
          <w:i/>
          <w:highlight w:val="white"/>
          <w:lang w:val="en-US"/>
        </w:rPr>
        <w:t>Language Teaching</w:t>
      </w:r>
      <w:r w:rsidRPr="00FF3505">
        <w:rPr>
          <w:highlight w:val="white"/>
          <w:lang w:val="en-US"/>
        </w:rPr>
        <w:t>, vol. 36, n° 2. pp. 81-109.</w:t>
      </w:r>
    </w:p>
    <w:p w14:paraId="0000006B" w14:textId="77777777" w:rsidR="00E502ED" w:rsidRDefault="001A2F47">
      <w:pPr>
        <w:spacing w:before="240" w:after="240" w:line="240" w:lineRule="auto"/>
        <w:jc w:val="both"/>
      </w:pPr>
      <w:r w:rsidRPr="00FF3505">
        <w:rPr>
          <w:lang w:val="en-US"/>
        </w:rPr>
        <w:t xml:space="preserve">Caron, J., </w:t>
      </w:r>
      <w:proofErr w:type="spellStart"/>
      <w:r w:rsidRPr="00FF3505">
        <w:rPr>
          <w:lang w:val="en-US"/>
        </w:rPr>
        <w:t>Gaudreau</w:t>
      </w:r>
      <w:proofErr w:type="spellEnd"/>
      <w:r w:rsidRPr="00FF3505">
        <w:rPr>
          <w:lang w:val="en-US"/>
        </w:rPr>
        <w:t xml:space="preserve">, N., </w:t>
      </w:r>
      <w:proofErr w:type="spellStart"/>
      <w:r w:rsidRPr="00FF3505">
        <w:rPr>
          <w:lang w:val="en-US"/>
        </w:rPr>
        <w:t>Harvey</w:t>
      </w:r>
      <w:proofErr w:type="gramStart"/>
      <w:r w:rsidRPr="00FF3505">
        <w:rPr>
          <w:lang w:val="en-US"/>
        </w:rPr>
        <w:t>,C</w:t>
      </w:r>
      <w:proofErr w:type="spellEnd"/>
      <w:proofErr w:type="gramEnd"/>
      <w:r w:rsidRPr="00FF3505">
        <w:rPr>
          <w:lang w:val="en-US"/>
        </w:rPr>
        <w:t xml:space="preserve">., </w:t>
      </w:r>
      <w:proofErr w:type="spellStart"/>
      <w:r w:rsidRPr="00FF3505">
        <w:rPr>
          <w:lang w:val="en-US"/>
        </w:rPr>
        <w:t>Sicard</w:t>
      </w:r>
      <w:proofErr w:type="spellEnd"/>
      <w:r w:rsidRPr="00FF3505">
        <w:rPr>
          <w:lang w:val="en-US"/>
        </w:rPr>
        <w:t xml:space="preserve">, S., Robitaille, S., </w:t>
      </w:r>
      <w:proofErr w:type="spellStart"/>
      <w:r w:rsidRPr="00FF3505">
        <w:rPr>
          <w:lang w:val="en-US"/>
        </w:rPr>
        <w:t>Arbour</w:t>
      </w:r>
      <w:proofErr w:type="spellEnd"/>
      <w:r w:rsidRPr="00FF3505">
        <w:rPr>
          <w:lang w:val="en-US"/>
        </w:rPr>
        <w:t xml:space="preserve">, M. et </w:t>
      </w:r>
      <w:proofErr w:type="spellStart"/>
      <w:r w:rsidRPr="00FF3505">
        <w:rPr>
          <w:lang w:val="en-US"/>
        </w:rPr>
        <w:t>Brochu</w:t>
      </w:r>
      <w:proofErr w:type="spellEnd"/>
      <w:r w:rsidRPr="00FF3505">
        <w:rPr>
          <w:lang w:val="en-US"/>
        </w:rPr>
        <w:t xml:space="preserve">, T. (2020). </w:t>
      </w:r>
      <w:r>
        <w:t>La gestion de classe au primaire en contexte de pandémie. Formation et profession. 28(4 hors-série). 1-12.</w:t>
      </w:r>
      <w:hyperlink r:id="rId8">
        <w:r>
          <w:t xml:space="preserve"> http://dx.doi.org/10.18162/fp.2020.674</w:t>
        </w:r>
      </w:hyperlink>
    </w:p>
    <w:p w14:paraId="0000006C" w14:textId="77777777" w:rsidR="00E502ED" w:rsidRDefault="001A2F47">
      <w:pPr>
        <w:spacing w:before="240" w:after="240" w:line="240" w:lineRule="auto"/>
        <w:jc w:val="both"/>
      </w:pPr>
      <w:proofErr w:type="spellStart"/>
      <w:r>
        <w:t>Connac</w:t>
      </w:r>
      <w:proofErr w:type="spellEnd"/>
      <w:r>
        <w:t xml:space="preserve"> S. (2017). </w:t>
      </w:r>
      <w:r>
        <w:rPr>
          <w:i/>
        </w:rPr>
        <w:t>La coopération entre élèves</w:t>
      </w:r>
      <w:r>
        <w:t xml:space="preserve">. Paris: </w:t>
      </w:r>
      <w:proofErr w:type="spellStart"/>
      <w:r>
        <w:t>Canopé</w:t>
      </w:r>
      <w:proofErr w:type="spellEnd"/>
      <w:r>
        <w:t>.</w:t>
      </w:r>
    </w:p>
    <w:p w14:paraId="0000006D" w14:textId="77777777" w:rsidR="00E502ED" w:rsidRDefault="001A2F47">
      <w:pPr>
        <w:spacing w:before="240" w:after="240" w:line="240" w:lineRule="auto"/>
        <w:jc w:val="both"/>
      </w:pPr>
      <w:proofErr w:type="spellStart"/>
      <w:r>
        <w:t>Crinon</w:t>
      </w:r>
      <w:proofErr w:type="spellEnd"/>
      <w:r>
        <w:t xml:space="preserve">, J., Marin, B. &amp; Legros, D. (2003). L’impact de la collaboration à distance sur l’apprentissage des temps du récit au cycle 3. Environnements </w:t>
      </w:r>
      <w:r>
        <w:t>Informatiques pour l’Apprentissage Humain, Strasbourg, France. pp.103-114.</w:t>
      </w:r>
    </w:p>
    <w:p w14:paraId="0000006E" w14:textId="77777777" w:rsidR="00E502ED" w:rsidRDefault="001A2F47">
      <w:pPr>
        <w:spacing w:before="240" w:after="240" w:line="240" w:lineRule="auto"/>
        <w:jc w:val="both"/>
      </w:pPr>
      <w:proofErr w:type="spellStart"/>
      <w:r>
        <w:t>Develotte</w:t>
      </w:r>
      <w:proofErr w:type="spellEnd"/>
      <w:r>
        <w:t xml:space="preserve">, C., </w:t>
      </w:r>
      <w:proofErr w:type="spellStart"/>
      <w:r>
        <w:t>Kern</w:t>
      </w:r>
      <w:proofErr w:type="spellEnd"/>
      <w:r>
        <w:t>, R., &amp; Lamy, M.-N. (</w:t>
      </w:r>
      <w:proofErr w:type="spellStart"/>
      <w:r>
        <w:t>Éds</w:t>
      </w:r>
      <w:proofErr w:type="spellEnd"/>
      <w:r>
        <w:t xml:space="preserve">.). (2011). </w:t>
      </w:r>
      <w:r>
        <w:rPr>
          <w:i/>
        </w:rPr>
        <w:t xml:space="preserve">Décrire la conversation en ligne : Le face à face </w:t>
      </w:r>
      <w:proofErr w:type="spellStart"/>
      <w:r>
        <w:rPr>
          <w:i/>
        </w:rPr>
        <w:t>distanciel</w:t>
      </w:r>
      <w:proofErr w:type="spellEnd"/>
      <w:r>
        <w:t>. ENS.</w:t>
      </w:r>
    </w:p>
    <w:p w14:paraId="0000006F" w14:textId="77777777" w:rsidR="00E502ED" w:rsidRDefault="001A2F47">
      <w:pPr>
        <w:jc w:val="both"/>
      </w:pPr>
      <w:bookmarkStart w:id="1" w:name="_heading=h.1hotrinp8mqc" w:colFirst="0" w:colLast="0"/>
      <w:bookmarkEnd w:id="1"/>
      <w:proofErr w:type="spellStart"/>
      <w:r>
        <w:t>Fillietaz</w:t>
      </w:r>
      <w:proofErr w:type="spellEnd"/>
      <w:r>
        <w:t xml:space="preserve"> L., </w:t>
      </w:r>
      <w:proofErr w:type="spellStart"/>
      <w:r>
        <w:t>Schubauer</w:t>
      </w:r>
      <w:proofErr w:type="spellEnd"/>
      <w:r>
        <w:t>-Leoni M.L. (2008) (</w:t>
      </w:r>
      <w:proofErr w:type="spellStart"/>
      <w:r>
        <w:t>eds</w:t>
      </w:r>
      <w:proofErr w:type="spellEnd"/>
      <w:r>
        <w:t xml:space="preserve">.). </w:t>
      </w:r>
      <w:r>
        <w:rPr>
          <w:i/>
        </w:rPr>
        <w:t>Processus</w:t>
      </w:r>
      <w:r>
        <w:rPr>
          <w:i/>
        </w:rPr>
        <w:t xml:space="preserve"> interactionnels et situations éducatives</w:t>
      </w:r>
      <w:r>
        <w:t>. Bruxelles: De Boeck.</w:t>
      </w:r>
    </w:p>
    <w:p w14:paraId="00000070" w14:textId="77777777" w:rsidR="00E502ED" w:rsidRDefault="001A2F47">
      <w:pPr>
        <w:spacing w:before="240" w:after="120" w:line="240" w:lineRule="auto"/>
        <w:jc w:val="both"/>
        <w:rPr>
          <w:color w:val="000000"/>
        </w:rPr>
      </w:pPr>
      <w:r>
        <w:rPr>
          <w:color w:val="000000"/>
        </w:rPr>
        <w:t xml:space="preserve">Gajo L. (2007). Enseignement d’une DNL en langue étrangère: de la clarification à la conceptualisation. </w:t>
      </w:r>
      <w:r>
        <w:rPr>
          <w:i/>
          <w:color w:val="000000"/>
        </w:rPr>
        <w:t>TREMA</w:t>
      </w:r>
      <w:r>
        <w:rPr>
          <w:color w:val="000000"/>
        </w:rPr>
        <w:t>, 28, 37-48.</w:t>
      </w:r>
    </w:p>
    <w:p w14:paraId="00000071" w14:textId="77777777" w:rsidR="00E502ED" w:rsidRDefault="001A2F47">
      <w:pPr>
        <w:spacing w:before="240" w:after="120" w:line="240" w:lineRule="auto"/>
        <w:jc w:val="both"/>
        <w:rPr>
          <w:b/>
        </w:rPr>
      </w:pPr>
      <w:r>
        <w:t>Garcia-</w:t>
      </w:r>
      <w:proofErr w:type="spellStart"/>
      <w:r>
        <w:t>Debanc</w:t>
      </w:r>
      <w:proofErr w:type="spellEnd"/>
      <w:r>
        <w:t xml:space="preserve"> C., Laurent D., </w:t>
      </w:r>
      <w:proofErr w:type="spellStart"/>
      <w:r>
        <w:t>Galaup</w:t>
      </w:r>
      <w:proofErr w:type="spellEnd"/>
      <w:r>
        <w:t xml:space="preserve"> M. (2009). Les formulations des é</w:t>
      </w:r>
      <w:r>
        <w:t xml:space="preserve">crits transitoires comme traces du savoir en cours d’appropriation dans le cadre de l’enseignement des sciences à l’école primaire. </w:t>
      </w:r>
      <w:r>
        <w:rPr>
          <w:i/>
        </w:rPr>
        <w:t xml:space="preserve">Pratiques </w:t>
      </w:r>
      <w:r>
        <w:t>143-144, 27-50. DOI : 10.4000/pratiques.1384</w:t>
      </w:r>
    </w:p>
    <w:p w14:paraId="00000072" w14:textId="77777777" w:rsidR="00E502ED" w:rsidRDefault="001A2F47">
      <w:pPr>
        <w:spacing w:before="240" w:after="240" w:line="240" w:lineRule="auto"/>
        <w:jc w:val="both"/>
      </w:pPr>
      <w:r>
        <w:t xml:space="preserve">Genevois, S. &amp; Poyet, F. (2010). Espaces numériques de travail (ENT) </w:t>
      </w:r>
      <w:r>
        <w:t xml:space="preserve">et « école étendue »: Vers un nouvel espace-temps scolaire </w:t>
      </w:r>
      <w:proofErr w:type="gramStart"/>
      <w:r>
        <w:t>?.</w:t>
      </w:r>
      <w:proofErr w:type="gramEnd"/>
      <w:r>
        <w:t xml:space="preserve"> </w:t>
      </w:r>
      <w:r>
        <w:rPr>
          <w:i/>
        </w:rPr>
        <w:t>Distances et savoirs</w:t>
      </w:r>
      <w:r>
        <w:t xml:space="preserve">, 8, 565-583. </w:t>
      </w:r>
      <w:hyperlink r:id="rId9">
        <w:r>
          <w:t>https://doi.org/</w:t>
        </w:r>
      </w:hyperlink>
    </w:p>
    <w:p w14:paraId="00000073" w14:textId="77777777" w:rsidR="00E502ED" w:rsidRPr="00FF3505" w:rsidRDefault="001A2F47">
      <w:pPr>
        <w:spacing w:before="240" w:after="120" w:line="240" w:lineRule="auto"/>
        <w:jc w:val="both"/>
        <w:rPr>
          <w:lang w:val="en-US"/>
        </w:rPr>
      </w:pPr>
      <w:r>
        <w:t xml:space="preserve">Hache C. (2019). </w:t>
      </w:r>
      <w:r>
        <w:rPr>
          <w:i/>
        </w:rPr>
        <w:t>Questions langagières dans l'enseignement et l'apprentissage des mathématiques. Histoire e</w:t>
      </w:r>
      <w:r>
        <w:rPr>
          <w:i/>
        </w:rPr>
        <w:t>t perspectives sur les mathématiques</w:t>
      </w:r>
      <w:r>
        <w:t xml:space="preserve">. Habilitation à diriger des recherches. </w:t>
      </w:r>
      <w:r w:rsidRPr="00FF3505">
        <w:rPr>
          <w:lang w:val="en-US"/>
        </w:rPr>
        <w:t>Université Paris Diderot.</w:t>
      </w:r>
    </w:p>
    <w:p w14:paraId="00000074" w14:textId="77777777" w:rsidR="00E502ED" w:rsidRDefault="001A2F47">
      <w:pPr>
        <w:spacing w:before="240" w:after="120" w:line="240" w:lineRule="auto"/>
        <w:jc w:val="both"/>
        <w:rPr>
          <w:color w:val="1155CC"/>
          <w:u w:val="single"/>
        </w:rPr>
      </w:pPr>
      <w:proofErr w:type="spellStart"/>
      <w:r w:rsidRPr="00FF3505">
        <w:rPr>
          <w:lang w:val="en-US"/>
        </w:rPr>
        <w:t>Havik</w:t>
      </w:r>
      <w:proofErr w:type="spellEnd"/>
      <w:r w:rsidRPr="00FF3505">
        <w:rPr>
          <w:lang w:val="en-US"/>
        </w:rPr>
        <w:t xml:space="preserve"> T., </w:t>
      </w:r>
      <w:proofErr w:type="spellStart"/>
      <w:r w:rsidRPr="00FF3505">
        <w:rPr>
          <w:lang w:val="en-US"/>
        </w:rPr>
        <w:t>Westergård</w:t>
      </w:r>
      <w:proofErr w:type="spellEnd"/>
      <w:r w:rsidRPr="00FF3505">
        <w:rPr>
          <w:lang w:val="en-US"/>
        </w:rPr>
        <w:t xml:space="preserve"> E. (2019). Do Teachers Matter? Students’ Perceptions of Classroom Interactions and Student Engagement. </w:t>
      </w:r>
      <w:hyperlink r:id="rId10">
        <w:proofErr w:type="spellStart"/>
        <w:r>
          <w:rPr>
            <w:i/>
          </w:rPr>
          <w:t>Scandinavian</w:t>
        </w:r>
        <w:proofErr w:type="spellEnd"/>
        <w:r>
          <w:rPr>
            <w:i/>
          </w:rPr>
          <w:t xml:space="preserve"> Journal of </w:t>
        </w:r>
        <w:proofErr w:type="spellStart"/>
        <w:r>
          <w:rPr>
            <w:i/>
          </w:rPr>
          <w:t>Educational</w:t>
        </w:r>
        <w:proofErr w:type="spellEnd"/>
        <w:r>
          <w:rPr>
            <w:i/>
          </w:rPr>
          <w:t xml:space="preserve"> </w:t>
        </w:r>
        <w:proofErr w:type="spellStart"/>
        <w:r>
          <w:rPr>
            <w:i/>
          </w:rPr>
          <w:t>Research</w:t>
        </w:r>
        <w:proofErr w:type="spellEnd"/>
      </w:hyperlink>
      <w:r>
        <w:t xml:space="preserve"> 64(1):1-20. </w:t>
      </w:r>
      <w:r>
        <w:rPr>
          <w:color w:val="777777"/>
        </w:rPr>
        <w:t>DOI</w:t>
      </w:r>
      <w:proofErr w:type="gramStart"/>
      <w:r>
        <w:rPr>
          <w:color w:val="777777"/>
        </w:rPr>
        <w:t xml:space="preserve">: </w:t>
      </w:r>
      <w:r>
        <w:t xml:space="preserve"> </w:t>
      </w:r>
      <w:proofErr w:type="gramEnd"/>
      <w:r>
        <w:fldChar w:fldCharType="begin"/>
      </w:r>
      <w:r>
        <w:instrText xml:space="preserve"> HYPERLINK "http://dx.doi.org/10.1080/00313831.2019.1577754" \h </w:instrText>
      </w:r>
      <w:r>
        <w:fldChar w:fldCharType="separate"/>
      </w:r>
      <w:r>
        <w:t>10.1080/00313831.2019.157775</w:t>
      </w:r>
      <w:r>
        <w:fldChar w:fldCharType="end"/>
      </w:r>
      <w:r>
        <w:t>4</w:t>
      </w:r>
    </w:p>
    <w:p w14:paraId="00000075" w14:textId="77777777" w:rsidR="00E502ED" w:rsidRDefault="001A2F47">
      <w:pPr>
        <w:spacing w:before="240" w:after="240" w:line="240" w:lineRule="auto"/>
        <w:jc w:val="both"/>
      </w:pPr>
      <w:proofErr w:type="spellStart"/>
      <w:r>
        <w:lastRenderedPageBreak/>
        <w:t>Ifé</w:t>
      </w:r>
      <w:proofErr w:type="spellEnd"/>
      <w:r>
        <w:t xml:space="preserve">. (2020). </w:t>
      </w:r>
      <w:r>
        <w:rPr>
          <w:i/>
        </w:rPr>
        <w:t>L</w:t>
      </w:r>
      <w:r>
        <w:rPr>
          <w:i/>
        </w:rPr>
        <w:t>es effets du confinement sur l’activité des enseignants du primaire et secondaire : Synthèse des résultats</w:t>
      </w:r>
      <w:r>
        <w:t>.</w:t>
      </w:r>
    </w:p>
    <w:p w14:paraId="00000076" w14:textId="77777777" w:rsidR="00E502ED" w:rsidRDefault="001A2F47">
      <w:pPr>
        <w:spacing w:before="240" w:after="240" w:line="240" w:lineRule="auto"/>
        <w:jc w:val="both"/>
      </w:pPr>
      <w:r>
        <w:t xml:space="preserve">Jacquinot, G. (1993). Apprivoiser la distance et supprimer l'absence ? </w:t>
      </w:r>
      <w:proofErr w:type="gramStart"/>
      <w:r>
        <w:t>ou</w:t>
      </w:r>
      <w:proofErr w:type="gramEnd"/>
      <w:r>
        <w:t xml:space="preserve"> les défis de la formation à distance. </w:t>
      </w:r>
      <w:r>
        <w:rPr>
          <w:i/>
        </w:rPr>
        <w:t>Revue française de pédagogie</w:t>
      </w:r>
      <w:r>
        <w:t>, volume</w:t>
      </w:r>
      <w:r>
        <w:t xml:space="preserve"> 102, pp. 55-67. DOI :</w:t>
      </w:r>
      <w:hyperlink r:id="rId11">
        <w:r>
          <w:t xml:space="preserve"> https://doi.org/10.3406/rfp.1993.1305</w:t>
        </w:r>
      </w:hyperlink>
    </w:p>
    <w:p w14:paraId="00000077" w14:textId="77777777" w:rsidR="00E502ED" w:rsidRDefault="001A2F47">
      <w:pPr>
        <w:spacing w:before="240" w:after="240" w:line="240" w:lineRule="auto"/>
        <w:jc w:val="both"/>
      </w:pPr>
      <w:r>
        <w:t>Jacquinot-Delaunay, G. (2002). Chapitre 6. Absence et présence dans la médiation pédagogique ou comment faire circuler les signes de la pr</w:t>
      </w:r>
      <w:r>
        <w:t xml:space="preserve">ésence. In : Roger </w:t>
      </w:r>
      <w:proofErr w:type="spellStart"/>
      <w:r>
        <w:t>Guir</w:t>
      </w:r>
      <w:proofErr w:type="spellEnd"/>
      <w:r>
        <w:t xml:space="preserve"> éd., </w:t>
      </w:r>
      <w:r>
        <w:rPr>
          <w:i/>
        </w:rPr>
        <w:t>Pratiquer les TICE: Former les enseignants et les formateurs à de nouveaux usages</w:t>
      </w:r>
      <w:r>
        <w:t xml:space="preserve"> (pp. 103-113). Louvain-la-Neuve: De Boeck Supérieur.</w:t>
      </w:r>
      <w:hyperlink r:id="rId12">
        <w:r>
          <w:t xml:space="preserve"> https://doi.org/10.3917/dbu.guir.2002.01.0103"</w:t>
        </w:r>
      </w:hyperlink>
    </w:p>
    <w:p w14:paraId="00000078" w14:textId="77777777" w:rsidR="00E502ED" w:rsidRDefault="001A2F47">
      <w:pPr>
        <w:spacing w:before="240" w:after="120" w:line="240" w:lineRule="auto"/>
        <w:jc w:val="both"/>
      </w:pPr>
      <w:r>
        <w:rPr>
          <w:color w:val="000000"/>
        </w:rPr>
        <w:t xml:space="preserve">Jaubert M. (2007). </w:t>
      </w:r>
      <w:r>
        <w:rPr>
          <w:i/>
          <w:color w:val="000000"/>
        </w:rPr>
        <w:t>Langage et construction de connaissances à l’école : un exemple en sciences.</w:t>
      </w:r>
      <w:r>
        <w:rPr>
          <w:color w:val="000000"/>
        </w:rPr>
        <w:t xml:space="preserve"> Bordeaux : Presses universitaires de Bordeaux.</w:t>
      </w:r>
    </w:p>
    <w:p w14:paraId="00000079" w14:textId="77777777" w:rsidR="00E502ED" w:rsidRDefault="001A2F47">
      <w:pPr>
        <w:spacing w:after="120" w:line="240" w:lineRule="auto"/>
        <w:jc w:val="both"/>
      </w:pPr>
      <w:proofErr w:type="spellStart"/>
      <w:r>
        <w:t>Jézégou</w:t>
      </w:r>
      <w:proofErr w:type="spellEnd"/>
      <w:r>
        <w:t>, A. (2010). Créer de la présence à distance en e-learning</w:t>
      </w:r>
      <w:r>
        <w:t xml:space="preserve">: Cadre théorique, définition, et dimensions clés. </w:t>
      </w:r>
      <w:r>
        <w:rPr>
          <w:i/>
        </w:rPr>
        <w:t>Distances et savoirs</w:t>
      </w:r>
      <w:r>
        <w:t>, 8, 257-274.</w:t>
      </w:r>
      <w:hyperlink r:id="rId13">
        <w:r>
          <w:t xml:space="preserve"> https://doi.org/</w:t>
        </w:r>
      </w:hyperlink>
    </w:p>
    <w:p w14:paraId="0000007A" w14:textId="77777777" w:rsidR="00E502ED" w:rsidRDefault="001A2F47">
      <w:pPr>
        <w:spacing w:after="120" w:line="240" w:lineRule="auto"/>
        <w:jc w:val="both"/>
        <w:rPr>
          <w:color w:val="000000"/>
        </w:rPr>
      </w:pPr>
      <w:r>
        <w:t>Klein C. (</w:t>
      </w:r>
      <w:proofErr w:type="spellStart"/>
      <w:r>
        <w:t>ed</w:t>
      </w:r>
      <w:proofErr w:type="spellEnd"/>
      <w:r>
        <w:t xml:space="preserve">.). (2012), Le français comme langue de scolarisation. Accompagner, enseigner, évaluer, se former. Paris : </w:t>
      </w:r>
      <w:proofErr w:type="spellStart"/>
      <w:r>
        <w:t>Canopé</w:t>
      </w:r>
      <w:proofErr w:type="spellEnd"/>
      <w:r>
        <w:t>.</w:t>
      </w:r>
    </w:p>
    <w:p w14:paraId="0000007B" w14:textId="77777777" w:rsidR="00E502ED" w:rsidRPr="00FF3505" w:rsidRDefault="001A2F47">
      <w:pPr>
        <w:spacing w:after="120" w:line="240" w:lineRule="auto"/>
        <w:jc w:val="both"/>
        <w:rPr>
          <w:lang w:val="en-US"/>
        </w:rPr>
      </w:pPr>
      <w:proofErr w:type="spellStart"/>
      <w:r>
        <w:t>Mendonça</w:t>
      </w:r>
      <w:proofErr w:type="spellEnd"/>
      <w:r>
        <w:t xml:space="preserve"> Dias C., Millon Faure K. (2018). </w:t>
      </w:r>
      <w:r w:rsidRPr="00FF3505">
        <w:rPr>
          <w:lang w:val="en-US"/>
        </w:rPr>
        <w:t xml:space="preserve">French as an Additional Language for Mathematics’ Purposes. </w:t>
      </w:r>
      <w:r w:rsidRPr="00FF3505">
        <w:rPr>
          <w:i/>
          <w:lang w:val="en-US"/>
        </w:rPr>
        <w:t>Languages for Specific Purp</w:t>
      </w:r>
      <w:r w:rsidRPr="00FF3505">
        <w:rPr>
          <w:i/>
          <w:lang w:val="en-US"/>
        </w:rPr>
        <w:t>oses in History</w:t>
      </w:r>
      <w:r w:rsidRPr="00FF3505">
        <w:rPr>
          <w:lang w:val="en-US"/>
        </w:rPr>
        <w:t xml:space="preserve">. </w:t>
      </w:r>
      <w:proofErr w:type="gramStart"/>
      <w:r w:rsidRPr="00FF3505">
        <w:rPr>
          <w:lang w:val="en-US"/>
        </w:rPr>
        <w:t>Cambridge :</w:t>
      </w:r>
      <w:proofErr w:type="gramEnd"/>
      <w:r w:rsidRPr="00FF3505">
        <w:rPr>
          <w:lang w:val="en-US"/>
        </w:rPr>
        <w:t xml:space="preserve"> Cambridge Scholars Publishing.</w:t>
      </w:r>
    </w:p>
    <w:p w14:paraId="0000007C" w14:textId="77777777" w:rsidR="00E502ED" w:rsidRPr="00FF3505" w:rsidRDefault="001A2F47">
      <w:pPr>
        <w:spacing w:after="120" w:line="240" w:lineRule="auto"/>
        <w:jc w:val="both"/>
        <w:rPr>
          <w:lang w:val="en-US"/>
        </w:rPr>
      </w:pPr>
      <w:r w:rsidRPr="00FF3505">
        <w:rPr>
          <w:lang w:val="en-US"/>
        </w:rPr>
        <w:t xml:space="preserve">Munford D., </w:t>
      </w:r>
      <w:proofErr w:type="spellStart"/>
      <w:r w:rsidRPr="00FF3505">
        <w:rPr>
          <w:lang w:val="en-US"/>
        </w:rPr>
        <w:t>Zembal</w:t>
      </w:r>
      <w:proofErr w:type="spellEnd"/>
      <w:r w:rsidRPr="00FF3505">
        <w:rPr>
          <w:lang w:val="en-US"/>
        </w:rPr>
        <w:t xml:space="preserve">-Saul C. (2002). Learning Science through Argumentation: Prospective Teachers' Experiences in an Innovative Science Course. Paper presented at the </w:t>
      </w:r>
      <w:r w:rsidRPr="00FF3505">
        <w:rPr>
          <w:i/>
          <w:lang w:val="en-US"/>
        </w:rPr>
        <w:t xml:space="preserve">Annual Meeting of the National </w:t>
      </w:r>
      <w:r w:rsidRPr="00FF3505">
        <w:rPr>
          <w:i/>
          <w:lang w:val="en-US"/>
        </w:rPr>
        <w:t>Association for Research in Science Teaching</w:t>
      </w:r>
      <w:r w:rsidRPr="00FF3505">
        <w:rPr>
          <w:lang w:val="en-US"/>
        </w:rPr>
        <w:t xml:space="preserve"> (New Orleans, LA, April 6-10, 2002).</w:t>
      </w:r>
    </w:p>
    <w:p w14:paraId="0000007D" w14:textId="77777777" w:rsidR="00E502ED" w:rsidRDefault="001A2F47">
      <w:pPr>
        <w:spacing w:before="240" w:after="120" w:line="240" w:lineRule="auto"/>
        <w:jc w:val="both"/>
      </w:pPr>
      <w:r>
        <w:t xml:space="preserve">Peraya, D. &amp; Dumont, P. (2003). « Interagir dans une classe virtuelle : analyse des interactions verbales médiatisées dans un environnement synchrone », </w:t>
      </w:r>
      <w:r>
        <w:rPr>
          <w:i/>
        </w:rPr>
        <w:t>Revue française de pé</w:t>
      </w:r>
      <w:r>
        <w:rPr>
          <w:i/>
        </w:rPr>
        <w:t>dagogie</w:t>
      </w:r>
      <w:r>
        <w:t>, 145, p. 51-61</w:t>
      </w:r>
    </w:p>
    <w:p w14:paraId="0000007E" w14:textId="77777777" w:rsidR="00E502ED" w:rsidRDefault="001A2F47">
      <w:pPr>
        <w:spacing w:before="240" w:after="120" w:line="240" w:lineRule="auto"/>
        <w:jc w:val="both"/>
      </w:pPr>
      <w:r>
        <w:t>Rivière V. (2012) (</w:t>
      </w:r>
      <w:proofErr w:type="spellStart"/>
      <w:r>
        <w:t>dir</w:t>
      </w:r>
      <w:proofErr w:type="spellEnd"/>
      <w:r>
        <w:t xml:space="preserve">.). </w:t>
      </w:r>
      <w:r>
        <w:rPr>
          <w:i/>
        </w:rPr>
        <w:t>Spécificités et diversités des interactions didactiques</w:t>
      </w:r>
      <w:r>
        <w:t xml:space="preserve">. </w:t>
      </w:r>
      <w:proofErr w:type="spellStart"/>
      <w:r>
        <w:t>Riveneuve</w:t>
      </w:r>
      <w:proofErr w:type="spellEnd"/>
      <w:r>
        <w:t xml:space="preserve"> éditions.</w:t>
      </w:r>
    </w:p>
    <w:p w14:paraId="0000007F" w14:textId="77777777" w:rsidR="00E502ED" w:rsidRDefault="001A2F47">
      <w:pPr>
        <w:spacing w:before="240" w:after="120" w:line="240" w:lineRule="auto"/>
        <w:jc w:val="both"/>
        <w:rPr>
          <w:color w:val="000000"/>
        </w:rPr>
      </w:pPr>
      <w:proofErr w:type="spellStart"/>
      <w:r>
        <w:rPr>
          <w:color w:val="000000"/>
        </w:rPr>
        <w:t>Schneeberger</w:t>
      </w:r>
      <w:proofErr w:type="spellEnd"/>
      <w:r>
        <w:rPr>
          <w:color w:val="000000"/>
        </w:rPr>
        <w:t xml:space="preserve"> P. et Vérin A. (2009). </w:t>
      </w:r>
      <w:r>
        <w:rPr>
          <w:i/>
          <w:color w:val="000000"/>
        </w:rPr>
        <w:t>Développer des pratiques d’oral et d’écrit en sciences. Quels enjeux pour les apprentissages à</w:t>
      </w:r>
      <w:r>
        <w:rPr>
          <w:i/>
          <w:color w:val="000000"/>
        </w:rPr>
        <w:t xml:space="preserve"> l’école ?</w:t>
      </w:r>
      <w:r>
        <w:rPr>
          <w:color w:val="000000"/>
        </w:rPr>
        <w:t xml:space="preserve"> Paris : INRP.</w:t>
      </w:r>
    </w:p>
    <w:p w14:paraId="00000080" w14:textId="77777777" w:rsidR="00E502ED" w:rsidRDefault="001A2F47">
      <w:pPr>
        <w:spacing w:before="240" w:after="120" w:line="240" w:lineRule="auto"/>
        <w:jc w:val="both"/>
      </w:pPr>
      <w:r>
        <w:t xml:space="preserve">Silveira L., </w:t>
      </w:r>
      <w:proofErr w:type="spellStart"/>
      <w:r>
        <w:t>Munford</w:t>
      </w:r>
      <w:proofErr w:type="spellEnd"/>
      <w:r>
        <w:t xml:space="preserve"> D. (2020). </w:t>
      </w:r>
      <w:proofErr w:type="spellStart"/>
      <w:r>
        <w:t>Aprendizagem</w:t>
      </w:r>
      <w:proofErr w:type="spellEnd"/>
      <w:r>
        <w:t xml:space="preserve"> de </w:t>
      </w:r>
      <w:proofErr w:type="spellStart"/>
      <w:r>
        <w:t>ciências</w:t>
      </w:r>
      <w:proofErr w:type="spellEnd"/>
      <w:r>
        <w:t xml:space="preserve">: </w:t>
      </w:r>
      <w:proofErr w:type="spellStart"/>
      <w:r>
        <w:t>uma</w:t>
      </w:r>
      <w:proofErr w:type="spellEnd"/>
      <w:r>
        <w:t xml:space="preserve"> </w:t>
      </w:r>
      <w:proofErr w:type="spellStart"/>
      <w:r>
        <w:t>análise</w:t>
      </w:r>
      <w:proofErr w:type="spellEnd"/>
      <w:r>
        <w:t xml:space="preserve"> </w:t>
      </w:r>
      <w:proofErr w:type="gramStart"/>
      <w:r>
        <w:t xml:space="preserve">de </w:t>
      </w:r>
      <w:proofErr w:type="spellStart"/>
      <w:r>
        <w:t>interações</w:t>
      </w:r>
      <w:proofErr w:type="spellEnd"/>
      <w:proofErr w:type="gramEnd"/>
      <w:r>
        <w:t xml:space="preserve"> </w:t>
      </w:r>
      <w:proofErr w:type="spellStart"/>
      <w:r>
        <w:t>discursivas</w:t>
      </w:r>
      <w:proofErr w:type="spellEnd"/>
      <w:r>
        <w:t xml:space="preserve"> e </w:t>
      </w:r>
      <w:proofErr w:type="spellStart"/>
      <w:r>
        <w:t>diferentes</w:t>
      </w:r>
      <w:proofErr w:type="spellEnd"/>
      <w:r>
        <w:t xml:space="preserve"> </w:t>
      </w:r>
      <w:proofErr w:type="spellStart"/>
      <w:r>
        <w:t>dimensões</w:t>
      </w:r>
      <w:proofErr w:type="spellEnd"/>
      <w:r>
        <w:t xml:space="preserve"> </w:t>
      </w:r>
      <w:proofErr w:type="spellStart"/>
      <w:r>
        <w:t>espaço-temporais</w:t>
      </w:r>
      <w:proofErr w:type="spellEnd"/>
      <w:r>
        <w:t xml:space="preserve"> no </w:t>
      </w:r>
      <w:proofErr w:type="spellStart"/>
      <w:r>
        <w:t>cotidiano</w:t>
      </w:r>
      <w:proofErr w:type="spellEnd"/>
      <w:r>
        <w:t xml:space="preserve"> da sala de aula. </w:t>
      </w:r>
      <w:proofErr w:type="spellStart"/>
      <w:r>
        <w:rPr>
          <w:i/>
        </w:rPr>
        <w:t>Revista</w:t>
      </w:r>
      <w:proofErr w:type="spellEnd"/>
      <w:r>
        <w:rPr>
          <w:i/>
        </w:rPr>
        <w:t xml:space="preserve"> </w:t>
      </w:r>
      <w:proofErr w:type="spellStart"/>
      <w:r>
        <w:rPr>
          <w:i/>
        </w:rPr>
        <w:t>Brasileira</w:t>
      </w:r>
      <w:proofErr w:type="spellEnd"/>
      <w:r>
        <w:rPr>
          <w:i/>
        </w:rPr>
        <w:t xml:space="preserve"> </w:t>
      </w:r>
      <w:proofErr w:type="gramStart"/>
      <w:r>
        <w:rPr>
          <w:i/>
        </w:rPr>
        <w:t xml:space="preserve">de </w:t>
      </w:r>
      <w:proofErr w:type="spellStart"/>
      <w:r>
        <w:rPr>
          <w:i/>
        </w:rPr>
        <w:t>educação</w:t>
      </w:r>
      <w:proofErr w:type="spellEnd"/>
      <w:proofErr w:type="gramEnd"/>
      <w:r>
        <w:t>. 25. DOI: https://doi.org/10.1590/</w:t>
      </w:r>
      <w:r>
        <w:t>S1413-24782020250015</w:t>
      </w:r>
    </w:p>
    <w:p w14:paraId="00000081" w14:textId="77777777" w:rsidR="00E502ED" w:rsidRDefault="001A2F47">
      <w:pPr>
        <w:spacing w:before="240" w:after="120" w:line="240" w:lineRule="auto"/>
        <w:jc w:val="both"/>
      </w:pPr>
      <w:proofErr w:type="spellStart"/>
      <w:r>
        <w:t>Skovholt</w:t>
      </w:r>
      <w:proofErr w:type="spellEnd"/>
      <w:r>
        <w:t xml:space="preserve"> K. (2017). </w:t>
      </w:r>
      <w:r w:rsidRPr="00FF3505">
        <w:rPr>
          <w:lang w:val="en-US"/>
        </w:rPr>
        <w:t xml:space="preserve">Anatomy of a teacher-student feedback encounter. Teaching and Teacher </w:t>
      </w:r>
      <w:proofErr w:type="gramStart"/>
      <w:r w:rsidRPr="00FF3505">
        <w:rPr>
          <w:lang w:val="en-US"/>
        </w:rPr>
        <w:t>Education :</w:t>
      </w:r>
      <w:proofErr w:type="gramEnd"/>
      <w:r w:rsidRPr="00FF3505">
        <w:rPr>
          <w:lang w:val="en-US"/>
        </w:rPr>
        <w:t xml:space="preserve"> An International Journal of Research and Studies.  </w:t>
      </w:r>
      <w:r>
        <w:t xml:space="preserve">Volume 69, 142-153. DOI: </w:t>
      </w:r>
      <w:hyperlink r:id="rId14">
        <w:r>
          <w:t>https://doi.org/10.1016/j.tate.2017.09.012</w:t>
        </w:r>
      </w:hyperlink>
    </w:p>
    <w:p w14:paraId="00000082" w14:textId="77777777" w:rsidR="00E502ED" w:rsidRDefault="001A2F47">
      <w:pPr>
        <w:spacing w:before="240" w:after="120" w:line="240" w:lineRule="auto"/>
        <w:jc w:val="both"/>
      </w:pPr>
      <w:proofErr w:type="spellStart"/>
      <w:r>
        <w:t>Volteau</w:t>
      </w:r>
      <w:proofErr w:type="spellEnd"/>
      <w:r>
        <w:t xml:space="preserve"> S., Rançon J., (</w:t>
      </w:r>
      <w:proofErr w:type="spellStart"/>
      <w:r>
        <w:t>dir</w:t>
      </w:r>
      <w:proofErr w:type="spellEnd"/>
      <w:r>
        <w:t>.) (2015): La reformulation : usages et contextes. HS 18 – CORELA. corela.revues.org.</w:t>
      </w:r>
    </w:p>
    <w:p w14:paraId="00000083" w14:textId="77777777" w:rsidR="00E502ED" w:rsidRDefault="001A2F47">
      <w:pPr>
        <w:spacing w:before="240" w:after="240" w:line="240" w:lineRule="auto"/>
        <w:jc w:val="both"/>
      </w:pPr>
      <w:r>
        <w:t>Zhang Waring H., .</w:t>
      </w:r>
      <w:proofErr w:type="spellStart"/>
      <w:r>
        <w:t>Chepkirui</w:t>
      </w:r>
      <w:proofErr w:type="spellEnd"/>
      <w:r>
        <w:t xml:space="preserve"> </w:t>
      </w:r>
      <w:proofErr w:type="spellStart"/>
      <w:r>
        <w:t>Creider</w:t>
      </w:r>
      <w:proofErr w:type="spellEnd"/>
      <w:r>
        <w:t xml:space="preserve"> S. (2021). </w:t>
      </w:r>
      <w:r>
        <w:rPr>
          <w:i/>
        </w:rPr>
        <w:t>Micro-</w:t>
      </w:r>
      <w:proofErr w:type="spellStart"/>
      <w:r>
        <w:rPr>
          <w:i/>
        </w:rPr>
        <w:t>Reflection</w:t>
      </w:r>
      <w:proofErr w:type="spellEnd"/>
      <w:r>
        <w:rPr>
          <w:i/>
        </w:rPr>
        <w:t xml:space="preserve"> on </w:t>
      </w:r>
      <w:proofErr w:type="spellStart"/>
      <w:r>
        <w:rPr>
          <w:i/>
        </w:rPr>
        <w:t>Classroom</w:t>
      </w:r>
      <w:proofErr w:type="spellEnd"/>
      <w:r>
        <w:rPr>
          <w:i/>
        </w:rPr>
        <w:t xml:space="preserve"> Communication. A F</w:t>
      </w:r>
      <w:r>
        <w:rPr>
          <w:i/>
        </w:rPr>
        <w:t>AB Framework</w:t>
      </w:r>
      <w:r>
        <w:t xml:space="preserve">. </w:t>
      </w:r>
      <w:proofErr w:type="spellStart"/>
      <w:r>
        <w:t>Equinox</w:t>
      </w:r>
      <w:proofErr w:type="spellEnd"/>
      <w:r>
        <w:t xml:space="preserve"> </w:t>
      </w:r>
      <w:proofErr w:type="spellStart"/>
      <w:r>
        <w:t>Publishing</w:t>
      </w:r>
      <w:proofErr w:type="spellEnd"/>
      <w:r>
        <w:t xml:space="preserve"> Ltd</w:t>
      </w:r>
      <w:proofErr w:type="gramStart"/>
      <w:r>
        <w:t>..</w:t>
      </w:r>
      <w:proofErr w:type="gramEnd"/>
    </w:p>
    <w:p w14:paraId="00000084" w14:textId="77777777" w:rsidR="00E502ED" w:rsidRDefault="00E502ED">
      <w:pPr>
        <w:spacing w:before="240" w:after="240" w:line="240" w:lineRule="auto"/>
        <w:jc w:val="both"/>
        <w:rPr>
          <w:color w:val="1155CC"/>
          <w:u w:val="single"/>
        </w:rPr>
      </w:pPr>
    </w:p>
    <w:p w14:paraId="00000085" w14:textId="77777777" w:rsidR="00E502ED" w:rsidRDefault="001A2F47">
      <w:pPr>
        <w:spacing w:before="240" w:after="240" w:line="240" w:lineRule="auto"/>
        <w:jc w:val="both"/>
      </w:pPr>
      <w:r>
        <w:t>.</w:t>
      </w:r>
    </w:p>
    <w:p w14:paraId="00000086" w14:textId="77777777" w:rsidR="00E502ED" w:rsidRDefault="00E502ED">
      <w:pPr>
        <w:jc w:val="both"/>
        <w:rPr>
          <w:color w:val="FF0000"/>
        </w:rPr>
      </w:pPr>
      <w:bookmarkStart w:id="2" w:name="_heading=h.wqtwp73c1f5d" w:colFirst="0" w:colLast="0"/>
      <w:bookmarkEnd w:id="2"/>
    </w:p>
    <w:sectPr w:rsidR="00E502ED">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B3D6E"/>
    <w:multiLevelType w:val="multilevel"/>
    <w:tmpl w:val="CF044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0701FB"/>
    <w:multiLevelType w:val="multilevel"/>
    <w:tmpl w:val="2BC81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DB33F3"/>
    <w:multiLevelType w:val="multilevel"/>
    <w:tmpl w:val="40BE1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ED"/>
    <w:rsid w:val="001A2F47"/>
    <w:rsid w:val="00E502ED"/>
    <w:rsid w:val="00FF350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01AB6-06B1-435F-A9BB-595A31C1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0D0174"/>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0D0174"/>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FF35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35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dx.doi.org/10.18162/fp.2020.674" TargetMode="External"/><Relationship Id="rId13" Type="http://schemas.openxmlformats.org/officeDocument/2006/relationships/hyperlink" Target="https://doi.org/" TargetMode="External"/><Relationship Id="rId3" Type="http://schemas.openxmlformats.org/officeDocument/2006/relationships/styles" Target="styles.xml"/><Relationship Id="rId7" Type="http://schemas.openxmlformats.org/officeDocument/2006/relationships/hyperlink" Target="https://doi.org/10.4000/pratiques.1378" TargetMode="External"/><Relationship Id="rId12" Type="http://schemas.openxmlformats.org/officeDocument/2006/relationships/hyperlink" Target="https://doi.org/10.3917/dbu.guir.2002.01.010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i.org/10.3406/rfp.1993.13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searchgate.net/journal/Scandinavian-Journal-of-Educational-Research-1470-1170" TargetMode="External"/><Relationship Id="rId4" Type="http://schemas.openxmlformats.org/officeDocument/2006/relationships/settings" Target="settings.xml"/><Relationship Id="rId9" Type="http://schemas.openxmlformats.org/officeDocument/2006/relationships/hyperlink" Target="https://doi.org/" TargetMode="External"/><Relationship Id="rId14" Type="http://schemas.openxmlformats.org/officeDocument/2006/relationships/hyperlink" Target="https://doi.org/10.1016/j.tate.2017.09.01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2y+BDHrRNbKA+KLqMRpAul8QFQ==">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2328</Words>
  <Characters>12808</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dc:creator>
  <cp:lastModifiedBy>Sophie B</cp:lastModifiedBy>
  <cp:revision>3</cp:revision>
  <cp:lastPrinted>2022-03-31T20:27:00Z</cp:lastPrinted>
  <dcterms:created xsi:type="dcterms:W3CDTF">2021-12-15T19:51:00Z</dcterms:created>
  <dcterms:modified xsi:type="dcterms:W3CDTF">2022-03-31T20:33:00Z</dcterms:modified>
</cp:coreProperties>
</file>